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/>
        <w:jc w:val="center"/>
        <w:spacing w:before="0" w:after="288" w:line="360" w:lineRule="auto"/>
        <w:widowControl/>
        <w:rPr>
          <w:rFonts w:ascii="Arial" w:hAnsi="Arial"/>
          <w:b/>
          <w:color w:val="0a0a0a"/>
          <w:sz w:val="28"/>
          <w:highlight w:val="white"/>
        </w:rPr>
        <w:pBdr>
          <w:top w:val="none" w:color="000000" w:sz="4" w:space="0"/>
          <w:left w:val="none" w:color="000000" w:sz="4" w:space="0"/>
          <w:bottom w:val="single" w:color="828282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0a0a0a"/>
          <w:sz w:val="28"/>
          <w:highlight w:val="white"/>
        </w:rPr>
        <w:t xml:space="preserve">Приказ</w:t>
      </w:r>
      <w:r>
        <w:rPr>
          <w:rFonts w:ascii="Arial" w:hAnsi="Arial"/>
          <w:b/>
          <w:color w:val="0a0a0a"/>
          <w:sz w:val="28"/>
          <w:highlight w:val="white"/>
        </w:rPr>
      </w:r>
    </w:p>
    <w:p>
      <w:pPr>
        <w:ind w:left="0" w:right="0"/>
        <w:jc w:val="center"/>
        <w:spacing w:before="0" w:after="288" w:line="360" w:lineRule="auto"/>
        <w:widowControl/>
        <w:rPr>
          <w:rFonts w:ascii="Arial" w:hAnsi="Arial"/>
          <w:b/>
          <w:color w:val="0a0a0a"/>
          <w:sz w:val="40"/>
          <w:highlight w:val="white"/>
        </w:rPr>
        <w:pBdr>
          <w:top w:val="none" w:color="000000" w:sz="4" w:space="0"/>
          <w:left w:val="none" w:color="000000" w:sz="4" w:space="0"/>
          <w:bottom w:val="single" w:color="828282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0a0a0a"/>
          <w:sz w:val="40"/>
          <w:highlight w:val="white"/>
        </w:rPr>
        <w:t xml:space="preserve">О принятии учетной политики на предприятии</w:t>
      </w:r>
      <w:r>
        <w:rPr>
          <w:rFonts w:ascii="Arial" w:hAnsi="Arial"/>
          <w:b/>
          <w:color w:val="0a0a0a"/>
          <w:sz w:val="40"/>
          <w:highlight w:val="white"/>
        </w:rPr>
      </w:r>
    </w:p>
    <w:p>
      <w:pPr>
        <w:ind w:left="0" w:right="0"/>
        <w:jc w:val="center"/>
        <w:spacing w:before="0" w:after="288" w:line="360" w:lineRule="auto"/>
        <w:widowControl/>
        <w:rPr>
          <w:rFonts w:ascii="Arial" w:hAnsi="Arial"/>
          <w:b w:val="0"/>
          <w:color w:val="0a0a0a"/>
          <w:sz w:val="24"/>
          <w:highlight w:val="white"/>
        </w:rPr>
        <w:pBdr>
          <w:top w:val="none" w:color="000000" w:sz="4" w:space="0"/>
          <w:left w:val="none" w:color="000000" w:sz="4" w:space="0"/>
          <w:bottom w:val="single" w:color="828282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ООО</w:t>
      </w:r>
      <w:r>
        <w:rPr>
          <w:rFonts w:ascii="Arial" w:hAnsi="Arial"/>
          <w:b w:val="0"/>
          <w:color w:val="0a0a0a"/>
          <w:sz w:val="22"/>
          <w:highlight w:val="white"/>
        </w:rPr>
        <w:t xml:space="preserve"> </w:t>
      </w:r>
      <w:r>
        <w:rPr>
          <w:rFonts w:ascii="Arial" w:hAnsi="Arial"/>
          <w:b w:val="0"/>
          <w:color w:val="0a0a0a"/>
          <w:sz w:val="24"/>
          <w:highlight w:val="white"/>
        </w:rPr>
        <w:t xml:space="preserve">«</w:t>
      </w:r>
      <w:r>
        <w:rPr>
          <w:rFonts w:ascii="Arial" w:hAnsi="Arial"/>
          <w:b w:val="0"/>
          <w:smallCaps w:val="0"/>
          <w:color w:val="0a0a0a"/>
          <w:spacing w:val="0"/>
          <w:sz w:val="24"/>
          <w:highlight w:val="white"/>
        </w:rPr>
        <w:t xml:space="preserve">________________</w:t>
      </w:r>
      <w:r>
        <w:rPr>
          <w:rFonts w:ascii="Arial" w:hAnsi="Arial"/>
          <w:b w:val="0"/>
          <w:color w:val="0a0a0a"/>
          <w:sz w:val="24"/>
          <w:highlight w:val="white"/>
        </w:rPr>
        <w:t xml:space="preserve">»</w:t>
      </w:r>
      <w:r>
        <w:rPr>
          <w:rFonts w:ascii="Arial" w:hAnsi="Arial"/>
          <w:b w:val="0"/>
          <w:color w:val="0a0a0a"/>
          <w:sz w:val="24"/>
          <w:highlight w:val="white"/>
        </w:rPr>
      </w:r>
    </w:p>
    <w:p>
      <w:pPr>
        <w:spacing w:after="288" w:line="360" w:lineRule="auto"/>
        <w:widowControl/>
        <w:rPr>
          <w:rFonts w:ascii="Arial" w:hAnsi="Arial"/>
          <w:b w:val="0"/>
          <w:color w:val="0a0a0a"/>
          <w:sz w:val="22"/>
          <w:highlight w:val="white"/>
        </w:rPr>
      </w:pPr>
      <w:r>
        <w:rPr>
          <w:rFonts w:ascii="Arial" w:hAnsi="Arial"/>
          <w:b/>
          <w:color w:val="0a0a0a"/>
          <w:sz w:val="22"/>
          <w:highlight w:val="white"/>
        </w:rPr>
        <w:t xml:space="preserve">Дата</w:t>
      </w:r>
      <w:r>
        <w:rPr>
          <w:rFonts w:ascii="Arial" w:hAnsi="Arial"/>
          <w:b/>
          <w:smallCaps w:val="0"/>
          <w:color w:val="0a0a0a"/>
          <w:spacing w:val="0"/>
          <w:sz w:val="22"/>
          <w:highlight w:val="white"/>
        </w:rPr>
        <w:t xml:space="preserve"> </w:t>
      </w: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 </w:t>
      </w: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1 января </w:t>
      </w: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2024</w:t>
      </w: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 </w:t>
      </w:r>
      <w:r>
        <w:rPr>
          <w:rFonts w:ascii="Arial" w:hAnsi="Arial"/>
          <w:b/>
          <w:smallCaps w:val="0"/>
          <w:color w:val="0a0a0a"/>
          <w:spacing w:val="0"/>
          <w:sz w:val="22"/>
          <w:highlight w:val="white"/>
        </w:rPr>
        <w:t xml:space="preserve">                                                                                                  </w:t>
      </w:r>
      <w:r>
        <w:rPr>
          <w:rFonts w:ascii="Arial" w:hAnsi="Arial"/>
          <w:b/>
          <w:color w:val="0a0a0a"/>
          <w:sz w:val="22"/>
          <w:highlight w:val="white"/>
        </w:rPr>
        <w:t xml:space="preserve">Приказ №</w:t>
      </w:r>
      <w:r>
        <w:rPr>
          <w:rFonts w:ascii="Arial" w:hAnsi="Arial"/>
          <w:b w:val="0"/>
          <w:smallCaps w:val="0"/>
          <w:color w:val="0a0a0a"/>
          <w:spacing w:val="0"/>
          <w:sz w:val="22"/>
          <w:highlight w:val="white"/>
        </w:rPr>
        <w:t xml:space="preserve">1</w:t>
      </w:r>
      <w:r>
        <w:rPr>
          <w:rFonts w:ascii="Arial" w:hAnsi="Arial"/>
          <w:b w:val="0"/>
          <w:color w:val="0a0a0a"/>
          <w:sz w:val="22"/>
          <w:highlight w:val="white"/>
        </w:rPr>
      </w:r>
    </w:p>
    <w:p>
      <w:pPr>
        <w:spacing w:after="288" w:line="360" w:lineRule="auto"/>
        <w:widowControl/>
        <w:rPr>
          <w:rFonts w:ascii="Arial" w:hAnsi="Arial"/>
          <w:b/>
          <w:color w:val="333333"/>
          <w:sz w:val="28"/>
          <w:highlight w:val="white"/>
        </w:rPr>
      </w:pPr>
      <w:r>
        <w:rPr>
          <w:rFonts w:ascii="Arial" w:hAnsi="Arial"/>
          <w:b/>
          <w:color w:val="333333"/>
          <w:sz w:val="28"/>
          <w:highlight w:val="white"/>
        </w:rPr>
        <w:t xml:space="preserve">Приказываю:</w:t>
      </w:r>
      <w:r>
        <w:rPr>
          <w:rFonts w:ascii="Arial" w:hAnsi="Arial"/>
          <w:b/>
          <w:color w:val="333333"/>
          <w:sz w:val="28"/>
          <w:highlight w:val="white"/>
        </w:rPr>
      </w:r>
    </w:p>
    <w:p>
      <w:pPr>
        <w:spacing w:after="288" w:line="360" w:lineRule="auto"/>
        <w:widowControl/>
        <w:rPr>
          <w:rFonts w:ascii="Arial" w:hAnsi="Arial"/>
          <w:color w:val="333333"/>
          <w:sz w:val="22"/>
          <w:highlight w:val="white"/>
        </w:rPr>
      </w:pPr>
      <w:r>
        <w:rPr>
          <w:rFonts w:ascii="Arial" w:hAnsi="Arial"/>
          <w:color w:val="333333"/>
          <w:sz w:val="22"/>
          <w:highlight w:val="white"/>
        </w:rPr>
        <w:t xml:space="preserve">Руководствуясь Законом РФ от 6 декабря 2011 года № 402-ФЗ «О бухгалтерском учете», Положением по бухгалтерскому учету «Учетная политика организации» (ПБУ 1/2008), утвержденным Приказом Минфина РФ от 6 октяб</w:t>
      </w:r>
      <w:r>
        <w:rPr>
          <w:rFonts w:ascii="Arial" w:hAnsi="Arial"/>
          <w:color w:val="333333"/>
          <w:sz w:val="22"/>
          <w:highlight w:val="white"/>
        </w:rPr>
        <w:t xml:space="preserve">ря 2008 года № 106н, и Положением по ведению бухгалтерского учета и бухгалтерской отчетности в Российской Федерации, утвержденным Приказом Минфина РФ от 29 июля 1998 года № 34н, начиная с 1 января 2024 года применять следующую учетную политику предприятия: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1. </w:t>
      </w:r>
      <w:r>
        <w:rPr>
          <w:rFonts w:ascii="Arial" w:hAnsi="Arial"/>
          <w:color w:val="333333"/>
          <w:sz w:val="22"/>
          <w:highlight w:val="white"/>
        </w:rPr>
        <w:t xml:space="preserve">При оценке статей бухгалтерской отчетности обеспечить соблюдение допущений и требований, предусмотренных Положением по бухгалтерскому учету "Учетная политика организации", утвержденным приказом Минфина РФ от 6 октября 2008 года № 106н.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 2.</w:t>
      </w:r>
      <w:r>
        <w:rPr>
          <w:rFonts w:ascii="Arial" w:hAnsi="Arial"/>
          <w:color w:val="333333"/>
          <w:sz w:val="22"/>
          <w:highlight w:val="white"/>
        </w:rPr>
        <w:t xml:space="preserve"> Отражение фактов хозяйственной деятельности производить с использованием принц</w:t>
      </w:r>
      <w:r>
        <w:rPr>
          <w:rFonts w:ascii="Arial" w:hAnsi="Arial"/>
          <w:color w:val="333333"/>
          <w:sz w:val="22"/>
          <w:highlight w:val="white"/>
        </w:rPr>
        <w:t xml:space="preserve">ипа временной определенности, который подразумевает, что факты хозяйственной деятельности относятся к тому отчетному периоду, в котором они имели место, независимо от фактического времени поступления или выплаты денежных средств, связанных с этими фактами.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3.</w:t>
      </w:r>
      <w:r>
        <w:rPr>
          <w:rFonts w:ascii="Arial" w:hAnsi="Arial"/>
          <w:color w:val="333333"/>
          <w:sz w:val="22"/>
          <w:highlight w:val="white"/>
        </w:rPr>
        <w:t xml:space="preserve"> Бухгалтерский учет в 2024 году вести с применением Плана счетов бухгалтерского учета финансово-хозяйственной деятельности организаций и инструкции по его применению, утвержденному Приказом Минфина РФ от 31 октября 2000 года № 94н.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4.</w:t>
      </w:r>
      <w:r>
        <w:rPr>
          <w:rFonts w:ascii="Arial" w:hAnsi="Arial"/>
          <w:color w:val="333333"/>
          <w:sz w:val="22"/>
          <w:highlight w:val="white"/>
        </w:rPr>
        <w:t xml:space="preserve"> Бухгалтерский учет в 2024 году вести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использованием спецпрограммы.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вручную.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5. </w:t>
      </w:r>
      <w:r>
        <w:rPr>
          <w:rFonts w:ascii="Arial" w:hAnsi="Arial"/>
          <w:color w:val="333333"/>
          <w:sz w:val="22"/>
          <w:highlight w:val="white"/>
        </w:rPr>
        <w:t xml:space="preserve">Приобретение и заготовление материалов в бухгалтерском учете отражается с применением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счета 10 «Материалы», на котором формируется фактическая себестоимость материалов и отражается их движение.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счетов 15 «Заготовление и приобр</w:t>
      </w:r>
      <w:r>
        <w:rPr>
          <w:rFonts w:ascii="Arial" w:hAnsi="Arial"/>
          <w:i/>
          <w:color w:val="333333"/>
          <w:sz w:val="22"/>
          <w:highlight w:val="white"/>
        </w:rPr>
        <w:t xml:space="preserve">етение материальных ценностей», 16 «Отклонение в стоимости материальных ценностей» - для определения фактических затрат по приобретению материально-производственных запасов и отклонений от учетной цены; счета 10 «Материалы» - для учета движения материальны</w:t>
      </w:r>
      <w:r>
        <w:rPr>
          <w:rFonts w:ascii="Arial" w:hAnsi="Arial"/>
          <w:i/>
          <w:color w:val="333333"/>
          <w:sz w:val="22"/>
          <w:highlight w:val="white"/>
        </w:rPr>
        <w:t xml:space="preserve">х запасов по учетным ценам. При использовании указанных счетов учетная цена материалов доводится до фактической по окончании месяца путем списания разницы в этих ценах со счета 15 «Заготовление и приобретение материальных ценностей» на счет 10 «Материалы».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6.</w:t>
      </w:r>
      <w:r>
        <w:rPr>
          <w:rFonts w:ascii="Arial" w:hAnsi="Arial"/>
          <w:color w:val="333333"/>
          <w:sz w:val="22"/>
          <w:highlight w:val="white"/>
        </w:rPr>
        <w:t xml:space="preserve"> При отпуске материально-производственных запасов в производство и ином выбытии, их оценка производится организацией (кроме товаров, учитываемых по продажной (розничной) стоимости)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себестоимости каждой единицы.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средней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себестоимости первых по времени приобретения материально-производственных запасов (метод ФИФО).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7. </w:t>
      </w:r>
      <w:r>
        <w:rPr>
          <w:rFonts w:ascii="Arial" w:hAnsi="Arial"/>
          <w:color w:val="333333"/>
          <w:sz w:val="22"/>
          <w:highlight w:val="white"/>
        </w:rPr>
        <w:t xml:space="preserve">При выборе в случае отпуска МПЗ в производство и ином выбытии метода оценки «по средней себестоимости» или «ФИФО», применяется способ оценки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</w:t>
      </w:r>
      <w:r>
        <w:rPr>
          <w:rFonts w:ascii="Arial" w:hAnsi="Arial"/>
          <w:i/>
          <w:color w:val="333333"/>
          <w:sz w:val="22"/>
          <w:highlight w:val="white"/>
        </w:rPr>
        <w:t xml:space="preserve">сходя </w:t>
      </w:r>
      <w:r>
        <w:rPr>
          <w:rFonts w:ascii="Arial" w:hAnsi="Arial"/>
          <w:i/>
          <w:color w:val="333333"/>
          <w:sz w:val="22"/>
          <w:highlight w:val="white"/>
        </w:rPr>
        <w:t xml:space="preserve">из среднемесячной фактической себестоимости (взвешенная оценка), в расчет которой включаются количество и стоимость материалов на начало месяца и все поступления за месяц (расчетный период).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определения фактической себестоимости материала в момент его отпуска (скользящая оценка), при этом в расчет средней оценки включаются количество и стоимость материалов на начало месяца и все поступления до момента отпуска.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8.</w:t>
      </w:r>
      <w:r>
        <w:rPr>
          <w:rFonts w:ascii="Arial" w:hAnsi="Arial"/>
          <w:color w:val="333333"/>
          <w:sz w:val="22"/>
          <w:highlight w:val="white"/>
        </w:rPr>
        <w:t xml:space="preserve"> Затраты, включаемые</w:t>
      </w:r>
      <w:r>
        <w:rPr>
          <w:rFonts w:ascii="Arial" w:hAnsi="Arial"/>
          <w:color w:val="333333"/>
          <w:sz w:val="22"/>
          <w:highlight w:val="white"/>
        </w:rPr>
        <w:t xml:space="preserve"> в себестоимость материально-производственных запасов при оплате их неденежными средствами, определяются (для организаций, которые вправе применять упрощенные способы ведения бухгалтерского учета, включая упрощенную бухгалтерскую (финансовую) отчетность):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справедливой стоимости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балансовой стоимости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9.</w:t>
      </w:r>
      <w:r>
        <w:rPr>
          <w:rFonts w:ascii="Arial" w:hAnsi="Arial"/>
          <w:color w:val="333333"/>
          <w:sz w:val="22"/>
          <w:highlight w:val="white"/>
        </w:rPr>
        <w:t xml:space="preserve"> Включать в себестоимость запасов толь</w:t>
      </w:r>
      <w:r>
        <w:rPr>
          <w:rFonts w:ascii="Arial" w:hAnsi="Arial"/>
          <w:color w:val="333333"/>
          <w:sz w:val="22"/>
          <w:highlight w:val="white"/>
        </w:rPr>
        <w:t xml:space="preserve">ко их цену без скидок, уступок, премий и иных поощрений, не учитывая условия отсрочки (рассрочки) платежа (для организаций, которые вправе применять упрощенные способы ведения бухгалтерского учета, включая упрощенную бухгалтерскую (финансовую) отчетность).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10.</w:t>
      </w:r>
      <w:r>
        <w:rPr>
          <w:rFonts w:ascii="Arial" w:hAnsi="Arial"/>
          <w:color w:val="333333"/>
          <w:sz w:val="22"/>
          <w:highlight w:val="white"/>
        </w:rPr>
        <w:t xml:space="preserve"> В отношении запасов, предназначенных для управленческих нужд, ФСБУ 5/2019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применяется.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не применяется.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11.</w:t>
      </w:r>
      <w:r>
        <w:rPr>
          <w:rFonts w:ascii="Arial" w:hAnsi="Arial"/>
          <w:color w:val="333333"/>
          <w:sz w:val="22"/>
          <w:highlight w:val="white"/>
        </w:rPr>
        <w:t xml:space="preserve"> Оценка материальных запасов производится: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отчетную дату по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12.</w:t>
      </w:r>
      <w:r>
        <w:rPr>
          <w:rFonts w:ascii="Arial" w:hAnsi="Arial"/>
          <w:color w:val="333333"/>
          <w:sz w:val="22"/>
          <w:highlight w:val="white"/>
        </w:rPr>
        <w:t xml:space="preserve"> Основные средства оцениваются по первоначальной 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13.</w:t>
      </w:r>
      <w:r>
        <w:rPr>
          <w:rFonts w:ascii="Arial" w:hAnsi="Arial"/>
          <w:color w:val="333333"/>
          <w:sz w:val="22"/>
          <w:highlight w:val="white"/>
        </w:rPr>
        <w:t xml:space="preserve"> Объекты ОС и капитальных вложений не проверяются на обесценение (только для организаций, применяющих упрощенные способы бухучета).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14. </w:t>
      </w:r>
      <w:r>
        <w:rPr>
          <w:rFonts w:ascii="Arial" w:hAnsi="Arial"/>
          <w:color w:val="333333"/>
          <w:sz w:val="22"/>
          <w:highlight w:val="white"/>
        </w:rPr>
        <w:t xml:space="preserve">В первоначальной стоимости ОС не учитывать величину оценочного обязательства по будущему демонтажу, утилизации объекта и восстановлению окружающей среды.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15. </w:t>
      </w:r>
      <w:r>
        <w:rPr>
          <w:rFonts w:ascii="Arial" w:hAnsi="Arial"/>
          <w:color w:val="333333"/>
          <w:sz w:val="22"/>
          <w:highlight w:val="white"/>
        </w:rPr>
        <w:t xml:space="preserve">Актив признается объектом основных средств, если его первоначальная стоимость составляет более __________ рублей.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16.</w:t>
      </w:r>
      <w:r>
        <w:rPr>
          <w:rFonts w:ascii="Arial" w:hAnsi="Arial"/>
          <w:color w:val="333333"/>
          <w:sz w:val="22"/>
          <w:highlight w:val="white"/>
        </w:rPr>
        <w:t xml:space="preserve"> Начисление амортизации по объектам основных средств начинается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даты признания объекта в учете по формуле ___________________________.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первого числа месяца, следующего за месяцем признания объекта в учете.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17.</w:t>
      </w:r>
      <w:r>
        <w:rPr>
          <w:rFonts w:ascii="Arial" w:hAnsi="Arial"/>
          <w:color w:val="333333"/>
          <w:sz w:val="22"/>
          <w:highlight w:val="white"/>
        </w:rPr>
        <w:t xml:space="preserve"> Амортизация по объектам основных средств прекращает начисляться: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момента списания объекта в учете по формуле ________________________.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первого числа месяца, следующего за месяцем списания объекта в учете.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18.</w:t>
      </w:r>
      <w:r>
        <w:rPr>
          <w:rFonts w:ascii="Arial" w:hAnsi="Arial"/>
          <w:color w:val="333333"/>
          <w:sz w:val="22"/>
          <w:highlight w:val="white"/>
        </w:rPr>
        <w:t xml:space="preserve"> Установлен способ начисления амортизации по всем группам основных средств: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линейный.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способ уменьшаемого остатка по формуле _______________________.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19. </w:t>
      </w:r>
      <w:r>
        <w:rPr>
          <w:rFonts w:ascii="Arial" w:hAnsi="Arial"/>
          <w:color w:val="333333"/>
          <w:sz w:val="22"/>
          <w:highlight w:val="white"/>
        </w:rPr>
        <w:t xml:space="preserve">Установить следующие группы однородных объектов основных средств: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здания;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сооружения;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рабочие и силовые машины и оборудование;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измерительные и регулирующие приборы и устройства;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вычислительная техника;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транспортные средства;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инструмент, производственный и хозяйственный инвентарь;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рабочий, продуктивный и племенной скот;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многолетние насаждения;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внутрихозяйственные дороги и площадки;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инвестиционная недвижимость;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прочие объекты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20.</w:t>
      </w:r>
      <w:r>
        <w:rPr>
          <w:rFonts w:ascii="Arial" w:hAnsi="Arial"/>
          <w:color w:val="333333"/>
          <w:sz w:val="22"/>
          <w:highlight w:val="white"/>
        </w:rPr>
        <w:t xml:space="preserve"> Амортизация по всем группам ОС начисляется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ежеквартально.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21.</w:t>
      </w:r>
      <w:r>
        <w:rPr>
          <w:rFonts w:ascii="Arial" w:hAnsi="Arial"/>
          <w:color w:val="333333"/>
          <w:sz w:val="22"/>
          <w:highlight w:val="white"/>
        </w:rPr>
        <w:t xml:space="preserve"> В случае наличия у одного объекта основных средств нескольких частей, сроки полезного использования которых существенно отличаются, каждая такая часть учитывается как самостоятельный инвентарный объект. При этом уровень существенности определяется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размере не менее __% от средневзвешенного срока использования всех составных частей.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размере не менее __% от срока использования наиболее дорогостоящей части объекта.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22.</w:t>
      </w:r>
      <w:r>
        <w:rPr>
          <w:rFonts w:ascii="Arial" w:hAnsi="Arial"/>
          <w:color w:val="333333"/>
          <w:sz w:val="22"/>
          <w:highlight w:val="white"/>
        </w:rPr>
        <w:t xml:space="preserve"> Учет инвестиционной недвижимости вести на счете 03 по первоначальной стоимости.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23.</w:t>
      </w:r>
      <w:r>
        <w:rPr>
          <w:rFonts w:ascii="Arial" w:hAnsi="Arial"/>
          <w:color w:val="333333"/>
          <w:sz w:val="22"/>
          <w:highlight w:val="white"/>
        </w:rPr>
        <w:t xml:space="preserve"> Затраты на ремонт, проводимый реже, чем раз в 12 месяцев, учитываются как отдельное основное средство, если составляют более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___ % первоначальной стоимости ремонтируемого объекта.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24.</w:t>
      </w:r>
      <w:r>
        <w:rPr>
          <w:rFonts w:ascii="Arial" w:hAnsi="Arial"/>
          <w:color w:val="333333"/>
          <w:sz w:val="22"/>
          <w:highlight w:val="white"/>
        </w:rPr>
        <w:t xml:space="preserve"> ФСБУ 25/2018 не применяется к договорам аренды, по которым одновременно выполняются следующие условия (для организаций, которые вправе применять упрощенные способы ведения бухгалтерского учета, включая упрощенную бухгалтерскую (финансовую) отчетность):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 </w:t>
      </w:r>
      <w:r>
        <w:rPr>
          <w:rFonts w:ascii="Arial" w:hAnsi="Arial"/>
          <w:i/>
          <w:color w:val="333333"/>
          <w:sz w:val="22"/>
          <w:highlight w:val="white"/>
        </w:rPr>
        <w:t xml:space="preserve">- не предусмотрен переход права собственности на арендованное имущество к компании или его выкуп на льготных условиях;</w:t>
      </w:r>
      <w:r>
        <w:rPr>
          <w:rFonts w:ascii="Arial" w:hAnsi="Arial"/>
          <w:i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 - компания не намерена сдавать арендованное имущество в субаренду;</w:t>
      </w:r>
      <w:r>
        <w:rPr>
          <w:rFonts w:ascii="Arial" w:hAnsi="Arial"/>
          <w:i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 - срок аренды не превышает 12 месяцев на дату предоставления предмета аренды или рыночная стоимость предмета аренды без учета износа не превышает 300 000 руб.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25.</w:t>
      </w:r>
      <w:r>
        <w:rPr>
          <w:rFonts w:ascii="Arial" w:hAnsi="Arial"/>
          <w:color w:val="333333"/>
          <w:sz w:val="22"/>
          <w:highlight w:val="white"/>
        </w:rPr>
        <w:t xml:space="preserve"> Все объек</w:t>
      </w:r>
      <w:r>
        <w:rPr>
          <w:rFonts w:ascii="Arial" w:hAnsi="Arial"/>
          <w:color w:val="333333"/>
          <w:sz w:val="22"/>
          <w:highlight w:val="white"/>
        </w:rPr>
        <w:t xml:space="preserve">ты учета аренды классифицируются в качестве объектов операционной аренды (для организаций, которые вправе применять упрощенные способы ведения бухгалтерского учета, включая упрощенную бухгалтерскую (финансовую) отчетность), за исключением договоров, когда: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 </w:t>
      </w:r>
      <w:r>
        <w:rPr>
          <w:rFonts w:ascii="Arial" w:hAnsi="Arial"/>
          <w:i/>
          <w:color w:val="333333"/>
          <w:sz w:val="22"/>
          <w:highlight w:val="white"/>
        </w:rPr>
        <w:t xml:space="preserve">- условия договора аренды предусматривают переход к арендатору права собственности на предмет аренды;</w:t>
      </w:r>
      <w:r>
        <w:rPr>
          <w:rFonts w:ascii="Arial" w:hAnsi="Arial"/>
          <w:i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 - арендатор имеет право на покупку предмета аренды по цене значительно ниже его справедливой 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26.</w:t>
      </w:r>
      <w:r>
        <w:rPr>
          <w:rFonts w:ascii="Arial" w:hAnsi="Arial"/>
          <w:color w:val="333333"/>
          <w:sz w:val="22"/>
          <w:highlight w:val="white"/>
        </w:rPr>
        <w:t xml:space="preserve"> Для учета операций по аренде используются следующие субсчета: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08.9 «Получение прав пользования арендованным имуществом»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01.3 «Права пользования арендованным имуществом»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02.2 «Амортизация прав пользования арендованным имуществом»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76.5 «Обязательство по аренде» (при получении в аренду)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76.5 «Инвестиции в аренду» (при сдаче в финансовую аренду)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76.6 «НДС по арендному обязательству»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Другое: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27. </w:t>
      </w:r>
      <w:r>
        <w:rPr>
          <w:rFonts w:ascii="Arial" w:hAnsi="Arial"/>
          <w:color w:val="333333"/>
          <w:sz w:val="22"/>
          <w:highlight w:val="white"/>
        </w:rPr>
        <w:t xml:space="preserve">Амортизация прав пользования арендованным имуществом начисляется линейным способом.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28. </w:t>
      </w:r>
      <w:r>
        <w:rPr>
          <w:rFonts w:ascii="Arial" w:hAnsi="Arial"/>
          <w:color w:val="333333"/>
          <w:sz w:val="22"/>
          <w:highlight w:val="white"/>
        </w:rPr>
        <w:t xml:space="preserve">Доходы и расходы по операционной аренде признаются равномерно в течение срока договора.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29. </w:t>
      </w:r>
      <w:r>
        <w:rPr>
          <w:rFonts w:ascii="Arial" w:hAnsi="Arial"/>
          <w:color w:val="333333"/>
          <w:sz w:val="22"/>
          <w:highlight w:val="white"/>
        </w:rPr>
        <w:t xml:space="preserve">Фактическая стоимость права пользования активом рассчитывается в упрощенном порядке (для организаций, которые вправе применять упрощенные способы ведения бухгалтерского учета, включая упрощенную бухгалтерскую (финансовую) отчетность).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30. </w:t>
      </w:r>
      <w:r>
        <w:rPr>
          <w:rFonts w:ascii="Arial" w:hAnsi="Arial"/>
          <w:color w:val="333333"/>
          <w:sz w:val="22"/>
          <w:highlight w:val="white"/>
        </w:rPr>
        <w:t xml:space="preserve">Начисление процентов на чистую стоимость инвестиции производится: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ежеквартально.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раз в полугодие.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ежегодно.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31. </w:t>
      </w:r>
      <w:r>
        <w:rPr>
          <w:rFonts w:ascii="Arial" w:hAnsi="Arial"/>
          <w:color w:val="333333"/>
          <w:sz w:val="22"/>
          <w:highlight w:val="white"/>
        </w:rPr>
        <w:t xml:space="preserve">Переход на ФСБУ 14/2022 «Нематериальные активы» осуществить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ретроспективно.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альтернативно (упрощенно ретроспективно).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перспективно.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32.</w:t>
      </w:r>
      <w:r>
        <w:rPr>
          <w:rFonts w:ascii="Arial" w:hAnsi="Arial"/>
          <w:color w:val="333333"/>
          <w:sz w:val="22"/>
          <w:highlight w:val="white"/>
        </w:rPr>
        <w:t xml:space="preserve"> Актив признается нематериальным активом, если его первоначальная стоимость составляет более _______________ рублей. Затраты ниже лимита включаются в расходы периода, в котором закончены капвложения.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33.</w:t>
      </w:r>
      <w:r>
        <w:rPr>
          <w:rFonts w:ascii="Arial" w:hAnsi="Arial"/>
          <w:color w:val="333333"/>
          <w:sz w:val="22"/>
          <w:highlight w:val="white"/>
        </w:rPr>
        <w:t xml:space="preserve"> Нематериальные активы классифицируются по следующим видам и группам: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программы ЭВМ;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базы данных;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изобретения;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товарные знаки, приобретенные у других лиц;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лицензии и разрешения;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Другое: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34. </w:t>
      </w:r>
      <w:r>
        <w:rPr>
          <w:rFonts w:ascii="Arial" w:hAnsi="Arial"/>
          <w:color w:val="333333"/>
          <w:sz w:val="22"/>
          <w:highlight w:val="white"/>
        </w:rPr>
        <w:t xml:space="preserve">Организация оценивает нематериальные активы по всем видам и группам по первоначальной стоимости.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35. </w:t>
      </w:r>
      <w:r>
        <w:rPr>
          <w:rFonts w:ascii="Arial" w:hAnsi="Arial"/>
          <w:color w:val="333333"/>
          <w:sz w:val="22"/>
          <w:highlight w:val="white"/>
        </w:rPr>
        <w:t xml:space="preserve">Амортизация нематериальных активов по всем видам и группам производится следующим способом: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линейный способ.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способ уменьшаемого остатка).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способ списания стоимости пропорционально объему продукции (работ, услуг).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36. </w:t>
      </w:r>
      <w:r>
        <w:rPr>
          <w:rFonts w:ascii="Arial" w:hAnsi="Arial"/>
          <w:color w:val="333333"/>
          <w:sz w:val="22"/>
          <w:highlight w:val="white"/>
        </w:rPr>
        <w:t xml:space="preserve">Начисление амортизации по объектам НМА начинается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даты признания объекта в учете. За неполный месяц амортизация начисляется пропорционально количеству дней эксплуатации.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первого числа месяца, следующего за месяцем признания объекта в учете.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37.</w:t>
      </w:r>
      <w:r>
        <w:rPr>
          <w:rFonts w:ascii="Arial" w:hAnsi="Arial"/>
          <w:color w:val="333333"/>
          <w:sz w:val="22"/>
          <w:highlight w:val="white"/>
        </w:rPr>
        <w:t xml:space="preserve"> Начисление амортизации по объектам НМА прекращается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даты выбытия объекта из учета. За неполный месяц амортизация начисляется пропорционально количеству дней эксплуатации.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первого числа месяца, следующего за месяцем выбытия объекта из учета.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38.</w:t>
      </w:r>
      <w:r>
        <w:rPr>
          <w:rFonts w:ascii="Arial" w:hAnsi="Arial"/>
          <w:color w:val="333333"/>
          <w:sz w:val="22"/>
          <w:highlight w:val="white"/>
        </w:rPr>
        <w:t xml:space="preserve"> Амортизация по всем видам и группам НМА начисляется: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ежеквартально.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39.</w:t>
      </w:r>
      <w:r>
        <w:rPr>
          <w:rFonts w:ascii="Arial" w:hAnsi="Arial"/>
          <w:color w:val="333333"/>
          <w:sz w:val="22"/>
          <w:highlight w:val="white"/>
        </w:rPr>
        <w:t xml:space="preserve"> При продаже (отпуске) товаров их стоимость (в разрезе той либо иной группы) списывается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себестоимости каждой единицы.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средней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себестоимости первых по времени приобретения материально-производственных запасов (метод ФИФО).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40. </w:t>
      </w:r>
      <w:r>
        <w:rPr>
          <w:rFonts w:ascii="Arial" w:hAnsi="Arial"/>
          <w:color w:val="333333"/>
          <w:sz w:val="22"/>
          <w:highlight w:val="white"/>
        </w:rPr>
        <w:t xml:space="preserve">Затраты по заготовке и доставке товаров до центральных складов (баз), производимые до момента их передачи в продажу, включаются в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стоимость приобретения товаров.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состав расходов на продажу.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41. </w:t>
      </w:r>
      <w:r>
        <w:rPr>
          <w:rFonts w:ascii="Arial" w:hAnsi="Arial"/>
          <w:color w:val="333333"/>
          <w:sz w:val="22"/>
          <w:highlight w:val="white"/>
        </w:rPr>
        <w:t xml:space="preserve">Товары, приобретенные для продажи в розничной торговле, учитывать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фактической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продажной стоимости с отдельным учетом наценок (скидок).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42.</w:t>
      </w:r>
      <w:r>
        <w:rPr>
          <w:rFonts w:ascii="Arial" w:hAnsi="Arial"/>
          <w:color w:val="333333"/>
          <w:sz w:val="22"/>
          <w:highlight w:val="white"/>
        </w:rPr>
        <w:t xml:space="preserve"> Коммерческие и управленческие расходы признаются в себестоимости проданных продукции, товаров, работ, услуг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полностью в отчетном году их признания в качестве расходов по обычным видам деятельности.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части расходов, имеющих отношение к получению доходов в отчетном году.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43. </w:t>
      </w:r>
      <w:r>
        <w:rPr>
          <w:rFonts w:ascii="Arial" w:hAnsi="Arial"/>
          <w:color w:val="333333"/>
          <w:sz w:val="22"/>
          <w:highlight w:val="white"/>
        </w:rPr>
        <w:t xml:space="preserve">Незавершенное производство в массовом и серийном производстве отражается в бухгалтерском балансе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фактической производственной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нормативной (плановой) производственной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прямым статьям затрат.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стоимости сырья, материалов и полуфабрикатов.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44.</w:t>
      </w:r>
      <w:r>
        <w:rPr>
          <w:rFonts w:ascii="Arial" w:hAnsi="Arial"/>
          <w:color w:val="333333"/>
          <w:sz w:val="22"/>
          <w:highlight w:val="white"/>
        </w:rPr>
        <w:t xml:space="preserve"> Бухгалтерский учет выпуска готовой продукции (работ, услуг) осуществлять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применением счета 40 «Выпуск продукции (работ, услуг).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без применения счета 40 «Выпуск продукции (работ, услуг).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45.</w:t>
      </w:r>
      <w:r>
        <w:rPr>
          <w:rFonts w:ascii="Arial" w:hAnsi="Arial"/>
          <w:color w:val="333333"/>
          <w:sz w:val="22"/>
          <w:highlight w:val="white"/>
        </w:rPr>
        <w:t xml:space="preserve"> Готовая продукция отражается в бухгалтерском балансе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фактической производственной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нормативной (плановой) производственной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прямым статьям затрат.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46. </w:t>
      </w:r>
      <w:r>
        <w:rPr>
          <w:rFonts w:ascii="Arial" w:hAnsi="Arial"/>
          <w:color w:val="333333"/>
          <w:sz w:val="22"/>
          <w:highlight w:val="white"/>
        </w:rPr>
        <w:t xml:space="preserve">Отгруженные товары, сданные работы и оказанные услуги, по которым не признана выручка, отражаются в бухгалтерском балансе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фактической полной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нормативной (плановой) полной себестоимости.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47.</w:t>
      </w:r>
      <w:r>
        <w:rPr>
          <w:rFonts w:ascii="Arial" w:hAnsi="Arial"/>
          <w:color w:val="333333"/>
          <w:sz w:val="22"/>
          <w:highlight w:val="white"/>
        </w:rPr>
        <w:t xml:space="preserve"> Распределение общепроизводственных (косвенных) расходов осуществляется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пропорционально прямой заработной плате, начисленной рабочим по видам продукции, работ, услуг.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пропорционально сумме прямых затрат (стоимость израсходованных материалов, сумма начисленной заработной платы и пр.).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пропорционально выручке от реализации продукции (работ, услуг), товаров.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пропорционально прямым материальным затратам.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48.</w:t>
      </w:r>
      <w:r>
        <w:rPr>
          <w:rFonts w:ascii="Arial" w:hAnsi="Arial"/>
          <w:color w:val="333333"/>
          <w:sz w:val="22"/>
          <w:highlight w:val="white"/>
        </w:rPr>
        <w:t xml:space="preserve"> Выручка от продажи товаров (работ, услуг) признается в бухгалтерском учете (для организаций, которые вправе применять упрощенные способы ведения бухгалтерского учета, включая упрощенную бухгалтерскую (финансовую) отчетность):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поступления денежных средств от покупателей (заказчиков).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49.</w:t>
      </w:r>
      <w:r>
        <w:rPr>
          <w:rFonts w:ascii="Arial" w:hAnsi="Arial"/>
          <w:color w:val="333333"/>
          <w:sz w:val="22"/>
          <w:highlight w:val="white"/>
        </w:rPr>
        <w:t xml:space="preserve"> Выручка от выполнения работ, оказания услуг, продажи продукции с длительным циклом изготовления признается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готовности работы, услуги, продукции.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завершении выполнения работы, оказания услуги, изготовления продукции в целом.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50.</w:t>
      </w:r>
      <w:r>
        <w:rPr>
          <w:rFonts w:ascii="Arial" w:hAnsi="Arial"/>
          <w:color w:val="333333"/>
          <w:sz w:val="22"/>
          <w:highlight w:val="white"/>
        </w:rPr>
        <w:t xml:space="preserve"> Для признания выручки и расходов по договорам строительного подряда, длительнос</w:t>
      </w:r>
      <w:r>
        <w:rPr>
          <w:rFonts w:ascii="Arial" w:hAnsi="Arial"/>
          <w:color w:val="333333"/>
          <w:sz w:val="22"/>
          <w:highlight w:val="white"/>
        </w:rPr>
        <w:t xml:space="preserve">ть выполнения которых составляет более одного отчетного года (долгосрочный характер) или сроки начала и окончания которых приходятся на разные отчетные годы способом «по мере готовности», будет использоваться способ определения степени завершенности работ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доле выполненного на отчетную дату объема работ в общем объеме работ по договору.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доле понесенных на отчетную дату расходов в расчетной величине общих расходов по договору.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51. </w:t>
      </w:r>
      <w:r>
        <w:rPr>
          <w:rFonts w:ascii="Arial" w:hAnsi="Arial"/>
          <w:color w:val="333333"/>
          <w:sz w:val="22"/>
          <w:highlight w:val="white"/>
        </w:rPr>
        <w:t xml:space="preserve">При выборе способа определения степени завершенности подрядных работ «по доле выполненного на отчетную дату объема работ в общем объеме работ по договору» доля определяется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экспертной оценки объема выполненных работ.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подсчета объема выполненных работ в натуральном выражении (в километрах дорожного полотна, кубометрах бетона и т.п.) в общем объеме работ по договору.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52.</w:t>
      </w:r>
      <w:r>
        <w:rPr>
          <w:rFonts w:ascii="Arial" w:hAnsi="Arial"/>
          <w:color w:val="333333"/>
          <w:sz w:val="22"/>
          <w:highlight w:val="white"/>
        </w:rPr>
        <w:t xml:space="preserve"> При выборе способа определения степени завершенности подрядных работ «по доле понесенных на отчетную дату расходов в расчетной величине общих расходов по договору» доля определяется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подсчета понесенных расходов в натуральном измерителе в расчетной величине общих расходов по договору в том же измерителе.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подсчета понесенных расходов в стоимостном измерителе в расчетной величине общих расходов по договору в том же измерителе.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53.</w:t>
      </w:r>
      <w:r>
        <w:rPr>
          <w:rFonts w:ascii="Arial" w:hAnsi="Arial"/>
          <w:color w:val="333333"/>
          <w:sz w:val="22"/>
          <w:highlight w:val="white"/>
        </w:rPr>
        <w:t xml:space="preserve"> Предвиденные расходы принимаются к учету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их возникновения в процессе выполнения работ по строительству (по устранению недоделок в проектах и строительно-монтажных работах, по разборке оборудования из-за дефектов антикоррозийной защиты и т.п.).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путем образования резерва на покрытие предвиденных расходов (на гарантийное обслуживание и гарантийный ремонт созданного объекта и т.п.), при условии, что такие расходы могут быть достоверно определены.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54.</w:t>
      </w:r>
      <w:r>
        <w:rPr>
          <w:rFonts w:ascii="Arial" w:hAnsi="Arial"/>
          <w:color w:val="333333"/>
          <w:sz w:val="22"/>
          <w:highlight w:val="white"/>
        </w:rPr>
        <w:t xml:space="preserve"> Не связанные непосредственно с исполнением договора доходы организации, полученные при исполнении других видов договоров,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учитываются как прочие доходы.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относятся в уменьшение прямых расходов по договору.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55.</w:t>
      </w:r>
      <w:r>
        <w:rPr>
          <w:rFonts w:ascii="Arial" w:hAnsi="Arial"/>
          <w:color w:val="333333"/>
          <w:sz w:val="22"/>
          <w:highlight w:val="white"/>
        </w:rPr>
        <w:t xml:space="preserve"> Поступления, получение которых связано с деятельностью по предоставлению за плату во временное владение и (или) пользование активов предприятия, признавать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доходами от обычных видов деятельности.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прочими доходами.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56.</w:t>
      </w:r>
      <w:r>
        <w:rPr>
          <w:rFonts w:ascii="Arial" w:hAnsi="Arial"/>
          <w:color w:val="333333"/>
          <w:sz w:val="22"/>
          <w:highlight w:val="white"/>
        </w:rPr>
        <w:t xml:space="preserve"> Определять степень вероятности, на основании которой дебиторская задолженность может быть не погашена в сроки, установленные договором, и признана сомнительной, исходя из следующих критериев: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основании экспертной оценки.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57.</w:t>
      </w:r>
      <w:r>
        <w:rPr>
          <w:rFonts w:ascii="Arial" w:hAnsi="Arial"/>
          <w:color w:val="333333"/>
          <w:sz w:val="22"/>
          <w:highlight w:val="white"/>
        </w:rPr>
        <w:t xml:space="preserve"> Считать высокой степень вероятности непогашения дебиторской задолженности в сроки, установленные договором, при экспертном коэффициенте этого события, равном ___________________________________________________________________________.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58.</w:t>
      </w:r>
      <w:r>
        <w:rPr>
          <w:rFonts w:ascii="Arial" w:hAnsi="Arial"/>
          <w:color w:val="333333"/>
          <w:sz w:val="22"/>
          <w:highlight w:val="white"/>
        </w:rPr>
        <w:t xml:space="preserve"> Оценку вероятности погашения сомнительного долга полностью или частично осуществлять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основании экспертной оценки.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59</w:t>
      </w:r>
      <w:r>
        <w:rPr>
          <w:rFonts w:ascii="Arial" w:hAnsi="Arial"/>
          <w:color w:val="333333"/>
          <w:sz w:val="22"/>
          <w:highlight w:val="white"/>
        </w:rPr>
        <w:t xml:space="preserve">. Величину резерва определять отдельно по каждому сомнительному долгу путем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перемножения величины задолженности на экспертный коэффициент вероятности ее непогашения.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60.</w:t>
      </w:r>
      <w:r>
        <w:rPr>
          <w:rFonts w:ascii="Arial" w:hAnsi="Arial"/>
          <w:color w:val="333333"/>
          <w:sz w:val="22"/>
          <w:highlight w:val="white"/>
        </w:rPr>
        <w:t xml:space="preserve"> Суммы отчислений в резервы по сомнительным долгам и списание безнадежных долгов за счет резерва производить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 иной периодичностью: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61.</w:t>
      </w:r>
      <w:r>
        <w:rPr>
          <w:rFonts w:ascii="Arial" w:hAnsi="Arial"/>
          <w:color w:val="333333"/>
          <w:sz w:val="22"/>
          <w:highlight w:val="white"/>
        </w:rPr>
        <w:t xml:space="preserve"> К расходам будущих периодов относятся и подлежат списанию: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платежи за предоставленное право использования результатов интеллектуальной деятельности или средств</w:t>
      </w:r>
      <w:r>
        <w:rPr>
          <w:rFonts w:ascii="Arial" w:hAnsi="Arial"/>
          <w:i/>
          <w:color w:val="333333"/>
          <w:sz w:val="22"/>
          <w:highlight w:val="white"/>
        </w:rPr>
        <w:t xml:space="preserve"> индивидуализации, производимые в виде фиксированного разового платежа: при наличии договора - в течение срока его действия; при отсутствии договора – определяется самостоятельно на основании заключения эксперта (работника - пользователя данного продукта);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расходы, связанные с выполнением договоров строительного подряда, понесенные в связи с предстоящими работами, – по мере признания выручки по договору в порядке, предусмотренном ПБУ 2/2008;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пусковые и подготовительные расходы: при горно-подготовительных работах; при подготовительных работах в сезонн</w:t>
      </w:r>
      <w:r>
        <w:rPr>
          <w:rFonts w:ascii="Arial" w:hAnsi="Arial"/>
          <w:i/>
          <w:color w:val="333333"/>
          <w:sz w:val="22"/>
          <w:highlight w:val="white"/>
        </w:rPr>
        <w:t xml:space="preserve">ых производствах; при освоении новых производств, цехов и агрегатов (пусковые расходы); при рекультивации земель; при подготовке и освоении производства новых видов продукции и новых технологий - пропорционально планируемому объему изготовленной продукции;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расходы на получение лицензии на тот или иной вид деятельности - в течение срока, на который она выдана.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62. </w:t>
      </w:r>
      <w:r>
        <w:rPr>
          <w:rFonts w:ascii="Arial" w:hAnsi="Arial"/>
          <w:color w:val="333333"/>
          <w:sz w:val="22"/>
          <w:highlight w:val="white"/>
        </w:rPr>
        <w:t xml:space="preserve">Начисленные проценты и (или) дисконт по облигациям отражаются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составе прочих расходов в тех отчетных периодах, к которым относятся данные начисления.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b w:val="0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 w:val="0"/>
          <w:i/>
          <w:color w:val="333333"/>
          <w:sz w:val="22"/>
          <w:highlight w:val="white"/>
        </w:rPr>
        <w:t xml:space="preserve">равномерно в течение срока действия договора займа.</w:t>
      </w:r>
      <w:r>
        <w:rPr>
          <w:rFonts w:ascii="Arial" w:hAnsi="Arial"/>
          <w:b w:val="0"/>
          <w:i/>
          <w:color w:val="333333"/>
          <w:sz w:val="22"/>
          <w:highlight w:val="white"/>
        </w:rPr>
      </w:r>
    </w:p>
    <w:p>
      <w:pPr>
        <w:spacing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63.</w:t>
      </w:r>
      <w:r>
        <w:rPr>
          <w:rFonts w:ascii="Arial" w:hAnsi="Arial"/>
          <w:color w:val="333333"/>
          <w:sz w:val="22"/>
          <w:highlight w:val="white"/>
        </w:rPr>
        <w:t xml:space="preserve"> Признавать все расходы по займам </w:t>
      </w:r>
      <w:r>
        <w:rPr>
          <w:rFonts w:ascii="Arial" w:hAnsi="Arial"/>
          <w:i w:val="0"/>
          <w:color w:val="333333"/>
          <w:sz w:val="22"/>
          <w:highlight w:val="white"/>
        </w:rPr>
        <w:t xml:space="preserve">для организаций, которые вправе применять упрощенные способы ведения бухгалтерского учета, включая упрощенную бухгалтерскую (финансовую) отчетность</w:t>
      </w:r>
      <w:r>
        <w:rPr>
          <w:rFonts w:ascii="Arial" w:hAnsi="Arial"/>
          <w:color w:val="333333"/>
          <w:sz w:val="22"/>
          <w:highlight w:val="white"/>
        </w:rPr>
        <w:t xml:space="preserve">,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прочими расходами.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64.</w:t>
      </w:r>
      <w:r>
        <w:rPr>
          <w:rFonts w:ascii="Arial" w:hAnsi="Arial"/>
          <w:color w:val="333333"/>
          <w:sz w:val="22"/>
          <w:highlight w:val="white"/>
        </w:rPr>
        <w:t xml:space="preserve"> При несущественном изменении официального курса иностранной валюты к рублю, устанавливаемого Центральным банком</w:t>
      </w:r>
      <w:r>
        <w:rPr>
          <w:rFonts w:ascii="Arial" w:hAnsi="Arial"/>
          <w:color w:val="333333"/>
          <w:sz w:val="22"/>
          <w:highlight w:val="white"/>
        </w:rPr>
        <w:t xml:space="preserve"> Российской Федерации, пересчет в рубли, связанный с совершением большого числа однородных операций в такой иностранной валюте, производится по среднему курсу, исчисленному за месяц (или более короткий период). При этом уровень существенности определяется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размере не более __% от среднего курса, исчисленного за анализируемый период.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Другим способом: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65. </w:t>
      </w:r>
      <w:r>
        <w:rPr>
          <w:rFonts w:ascii="Arial" w:hAnsi="Arial"/>
          <w:color w:val="333333"/>
          <w:sz w:val="22"/>
          <w:highlight w:val="white"/>
        </w:rPr>
        <w:t xml:space="preserve">Пересчет стоимости денежных знаков в кассе организации и средств на банковских счетах (банковских вкладах), выраженной в иностранной валюте, в рубли производится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дату совершения операции в иностранной валюте, а также на отчетную дату составления бухгалтерской отчетности.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изменения курсов иностранных валют, котируемых Центральным банком Российской Федерации.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66.</w:t>
      </w:r>
      <w:r>
        <w:rPr>
          <w:rFonts w:ascii="Arial" w:hAnsi="Arial"/>
          <w:color w:val="333333"/>
          <w:sz w:val="22"/>
          <w:highlight w:val="white"/>
        </w:rPr>
        <w:t xml:space="preserve"> Бюджетные средства признаются в бухгалтерском учете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фактического поступления ресурсов.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возникновения целевого финансирования и задолженности по этим средствам.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67.</w:t>
      </w:r>
      <w:r>
        <w:rPr>
          <w:rFonts w:ascii="Arial" w:hAnsi="Arial"/>
          <w:color w:val="333333"/>
          <w:sz w:val="22"/>
          <w:highlight w:val="white"/>
        </w:rPr>
        <w:t xml:space="preserve"> Прочее целевое финансирование признается в бухгалтерском учете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фактического поступления ресурсов.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мере возникновения целевого финансирования и задолженности по этим средствам.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68.</w:t>
      </w:r>
      <w:r>
        <w:rPr>
          <w:rFonts w:ascii="Arial" w:hAnsi="Arial"/>
          <w:color w:val="333333"/>
          <w:sz w:val="22"/>
          <w:highlight w:val="white"/>
        </w:rPr>
        <w:t xml:space="preserve"> Списывать расходы по научно-исс</w:t>
      </w:r>
      <w:r>
        <w:rPr>
          <w:rFonts w:ascii="Arial" w:hAnsi="Arial"/>
          <w:color w:val="333333"/>
          <w:sz w:val="22"/>
          <w:highlight w:val="white"/>
        </w:rPr>
        <w:t xml:space="preserve">ледовательским, опытно-конструкторским и технологическим работам на расходы по обычным видам деятельности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полной сумме по мере их осуществления.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69.</w:t>
      </w:r>
      <w:r>
        <w:rPr>
          <w:rFonts w:ascii="Arial" w:hAnsi="Arial"/>
          <w:color w:val="333333"/>
          <w:sz w:val="22"/>
          <w:highlight w:val="white"/>
        </w:rPr>
        <w:t xml:space="preserve"> Списание расходов по каждой выполненной научно-исследовательской, опытно-конструкторской, технологической работе производится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линейным способом.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способом списания расходов пропорционально объему продукции (работ, услуг).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70. </w:t>
      </w:r>
      <w:r>
        <w:rPr>
          <w:rFonts w:ascii="Arial" w:hAnsi="Arial"/>
          <w:color w:val="333333"/>
          <w:sz w:val="22"/>
          <w:highlight w:val="white"/>
        </w:rPr>
        <w:t xml:space="preserve">Сроки применения результатов научно-исследовательских, опытно-конструкторских и технологических работ составляют ________________________________________.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71.</w:t>
      </w:r>
      <w:r>
        <w:rPr>
          <w:rFonts w:ascii="Arial" w:hAnsi="Arial"/>
          <w:color w:val="333333"/>
          <w:sz w:val="22"/>
          <w:highlight w:val="white"/>
        </w:rPr>
        <w:t xml:space="preserve"> При выбытии актива, принятого к бухгалтерскому учету в качестве финансовых вложений, по которому не определяется текущая рыночная стоимость, его стоимость определяется исходя из оценки, определяемой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первоначальной стоимости каждой единицы бухгалтерского учета финансовых вложений.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средней первоначальной стоимости.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первоначальной стоимости первых по времени приобретения финансовых вложений (способ ФИФО).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72.</w:t>
      </w:r>
      <w:r>
        <w:rPr>
          <w:rFonts w:ascii="Arial" w:hAnsi="Arial"/>
          <w:color w:val="333333"/>
          <w:sz w:val="22"/>
          <w:highlight w:val="white"/>
        </w:rPr>
        <w:t xml:space="preserve"> Последующая оценка всех финансовых вложений осуществляется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порядке, установленном ПБУ 19/02 для финансовых вложений, по которым их текущая рыночная стоимость не определяется.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73.</w:t>
      </w:r>
      <w:r>
        <w:rPr>
          <w:rFonts w:ascii="Arial" w:hAnsi="Arial"/>
          <w:color w:val="333333"/>
          <w:sz w:val="22"/>
          <w:highlight w:val="white"/>
        </w:rPr>
        <w:t xml:space="preserve"> Положение по бухгалтерскому учету «Учет расчетов по налогу на прибыль»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применять.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не применять.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74.</w:t>
      </w:r>
      <w:r>
        <w:rPr>
          <w:rFonts w:ascii="Arial" w:hAnsi="Arial"/>
          <w:color w:val="333333"/>
          <w:sz w:val="22"/>
          <w:highlight w:val="white"/>
        </w:rPr>
        <w:t xml:space="preserve"> Информация о постоянных и временных разницах формируется в бухгалтерском учете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основании первичных учетных документов непосредственно по счетам бухгалтерского учета.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ином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75.</w:t>
      </w:r>
      <w:r>
        <w:rPr>
          <w:rFonts w:ascii="Arial" w:hAnsi="Arial"/>
          <w:color w:val="333333"/>
          <w:sz w:val="22"/>
          <w:highlight w:val="white"/>
        </w:rPr>
        <w:t xml:space="preserve"> Использовать способ определения величины текущего налога на прибыль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основе данных, сформированных в бухгалтерском учете в соответствии с пунктами 20 и 21 ПБУ 18/02.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 основе налоговой декларации по налогу на прибыль.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color w:val="333333"/>
          <w:sz w:val="22"/>
          <w:highlight w:val="white"/>
        </w:rPr>
        <w:t xml:space="preserve">76.</w:t>
      </w:r>
      <w:r>
        <w:rPr>
          <w:rFonts w:ascii="Arial" w:hAnsi="Arial"/>
          <w:color w:val="333333"/>
          <w:sz w:val="22"/>
          <w:highlight w:val="white"/>
        </w:rPr>
        <w:t xml:space="preserve"> Не применять Положение по бухгалтерскому учету «Информация о связанных сторонах».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*Не применять это ПБУ могут только организации, которые вправе применять упрощенные способы ведения бухгалтерского учета, включая упрощенную бухгалтерскую (финансовую) отчетность.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77. </w:t>
      </w:r>
      <w:r>
        <w:rPr>
          <w:rFonts w:ascii="Arial" w:hAnsi="Arial"/>
          <w:color w:val="333333"/>
          <w:sz w:val="22"/>
          <w:highlight w:val="white"/>
        </w:rPr>
        <w:t xml:space="preserve">Не применять Положение по бухгалтерскому учету «Оценочные обязательства, условные обязательства и условные активы».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*Не применять это ПБУ могут только субъекты малого предпринимательства.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78.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Установить предполагаемый срок исполнения оценочного обязательства равным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 </w:t>
      </w:r>
      <w:r>
        <w:rPr>
          <w:rFonts w:ascii="Arial" w:hAnsi="Arial"/>
          <w:color w:val="333333"/>
          <w:sz w:val="22"/>
          <w:highlight w:val="white"/>
        </w:rPr>
        <w:t xml:space="preserve">(но не более 12 месяцев) после отчетной даты.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79.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Определять величину оценочного обязательства в виде резерва предстоящих расходов на оплату отпусков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порядке, предусмотренном ст. 324.1 гл. 25 «Налог на прибыль» НК РФ и Приказом об учетной политике для целей налогового учета.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другом порядке: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80. </w:t>
      </w:r>
      <w:r>
        <w:rPr>
          <w:rFonts w:ascii="Arial" w:hAnsi="Arial"/>
          <w:color w:val="333333"/>
          <w:sz w:val="22"/>
          <w:highlight w:val="white"/>
        </w:rPr>
        <w:t xml:space="preserve">Не применять Положение по бухгалтерскому учету «Информация по прекращаемой деятельности».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*Не применять это ПБУ могут только организации, которые вправе применять упрощенные способы ведения бухгалтерского учета, включая упрощенную бухгалтерскую (финансовую) отчетность.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81.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Не применять Положение по бухгалтерскому учету «Учет договоров строительного подряда».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*Не применять это ПБУ могут только организации, которые вправе применять упрощенные способы ведения бухгалтерского учета, включая упрощенную бухгалтерскую (финансовую) отчетность.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82.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Последствия изменения учетной политики, оказавшие или способные оказать существенное влияние на финансовое положение организации, фин</w:t>
      </w:r>
      <w:r>
        <w:rPr>
          <w:rFonts w:ascii="Arial" w:hAnsi="Arial"/>
          <w:color w:val="333333"/>
          <w:sz w:val="22"/>
          <w:highlight w:val="white"/>
        </w:rPr>
        <w:t xml:space="preserve">ансовые результаты ее деятельности и (или) движение денежных средств, отражать в бухгалтерской отчетности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перспективно, за исключением случаев, когда иной порядок установлен законодательством Российской Федерации и (или) нормативным правовым актом по бухгалтерскому учету.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83.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Не применять Положение по бухгалтерскому учету «Информация по сегментам».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i/>
          <w:color w:val="333333"/>
          <w:sz w:val="22"/>
          <w:highlight w:val="white"/>
        </w:rPr>
        <w:t xml:space="preserve">*Не применять это ПБУ могут только организации, которые вправе применять упрощенные способы ведения бухгалтерского учета, включая упрощенную бухгалтерскую (финансовую) отчетность.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84.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Ошибка признается существенной, если она в отдельности или в совокупности с другими ошибками за один и тот же отчетный период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составляет сумму по определенной статье отчетности, отношение которой к общему итогу соответствующих данных за отчетный год составляет не менее __%.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исходя из иных критериев существенности.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85.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Существенную ошибку предшествующего отчетного года, выявленную после утверждения бухгалтерской отчетности за этот год, исправлять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порядке, установленном пунктом 14 ПБУ 22/2010, без ретроспективного пересчета.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86. </w:t>
      </w:r>
      <w:r>
        <w:rPr>
          <w:rFonts w:ascii="Arial" w:hAnsi="Arial"/>
          <w:color w:val="333333"/>
          <w:sz w:val="22"/>
          <w:highlight w:val="white"/>
        </w:rPr>
        <w:t xml:space="preserve">Формировать представляемую бухгалтерскую отчетность (для организаций, которые вправе применять упрощенные способы ведения бухгалтерского учета, включая упрощенную бухгалтерскую (финансовую) отчетность)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упрощенной системе.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обычном порядке.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87. </w:t>
      </w:r>
      <w:r>
        <w:rPr>
          <w:rFonts w:ascii="Arial" w:hAnsi="Arial"/>
          <w:color w:val="333333"/>
          <w:sz w:val="22"/>
          <w:highlight w:val="white"/>
        </w:rPr>
        <w:t xml:space="preserve">Промежуточная отчётность составляется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ежеквартально.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88. </w:t>
      </w:r>
      <w:r>
        <w:rPr>
          <w:rFonts w:ascii="Arial" w:hAnsi="Arial"/>
          <w:color w:val="333333"/>
          <w:sz w:val="22"/>
          <w:highlight w:val="white"/>
        </w:rPr>
        <w:t xml:space="preserve">Для отражения в учете фактов хозяйственной жизни организация применяет форму универсального передаточного документа (УПД), рекомендованную ФНС России в письме от 21.10.2013 N ММВ-20-3/96@.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89. </w:t>
      </w:r>
      <w:r>
        <w:rPr>
          <w:rFonts w:ascii="Arial" w:hAnsi="Arial"/>
          <w:color w:val="333333"/>
          <w:sz w:val="22"/>
          <w:highlight w:val="white"/>
        </w:rPr>
        <w:t xml:space="preserve">Факты хозяйственной жизни оформлять первичными учетными документами, составленными на бумажном носителе и (или) в виде электронного документа, подписанного электронной подписью: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формируемые специализированной бухгалтерской компьютерной программой // Приложение 1.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самостоятельно разработанные должностным лицом, на которое возложено ведение бухгалтерского учета. // Приложение 2.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*</w:t>
      </w:r>
      <w:r>
        <w:rPr>
          <w:rFonts w:ascii="Arial" w:hAnsi="Arial"/>
          <w:b/>
          <w:color w:val="333333"/>
          <w:sz w:val="22"/>
          <w:highlight w:val="white"/>
        </w:rPr>
        <w:t xml:space="preserve">Внимание! Отсутствующие приложения, на которые есть указания в тексте, вам следует сформировать самостоятельно, основываясь на ваших данных.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90. </w:t>
      </w:r>
      <w:r>
        <w:rPr>
          <w:rFonts w:ascii="Arial" w:hAnsi="Arial"/>
          <w:color w:val="333333"/>
          <w:sz w:val="22"/>
          <w:highlight w:val="white"/>
        </w:rPr>
        <w:t xml:space="preserve">Утвердить в качестве регистров бухгалтерского учета, составляемых на бумажном носителе и (или) в виде электронного документа, подписанного электронной подписью 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формируемые специализированной бухгалтерской компьютерной программой. // Приложение 3.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самостоятельно разработанные должностным лицом, на которое возложено ведение бухгалтерского учета. // Приложение 4.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перечень документов (как первичных учетных, т</w:t>
      </w:r>
      <w:r>
        <w:rPr>
          <w:rFonts w:ascii="Arial" w:hAnsi="Arial"/>
          <w:color w:val="333333"/>
          <w:sz w:val="22"/>
          <w:highlight w:val="white"/>
        </w:rPr>
        <w:t xml:space="preserve">ак и иных) и порядок их представления в бухгалтерию с указанием должностных лиц, ответственных за их составление, а также график приема-передачи и списания объектов основных средств и оборудования в составе:документооборота на предприятии. // Приложение 5.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2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Ответственность за организацию бухгалтерского учета и организацию хранения документов бухгалтерского учета возлагается на руководителя.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93. </w:t>
      </w:r>
      <w:r>
        <w:rPr>
          <w:rFonts w:ascii="Arial" w:hAnsi="Arial"/>
          <w:color w:val="333333"/>
          <w:sz w:val="22"/>
          <w:highlight w:val="white"/>
        </w:rPr>
        <w:t xml:space="preserve">Бухгалтерский учет осуществляется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главным бухгалтером.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иным должностным лицом (указать, каким именно).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согласно договору об оказании услуг по ведению бухгалтерского учета сторонним исполнителем.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руководителем лично (для субъектов, которые в соответствии с законодательством</w:t>
      </w:r>
      <w:r>
        <w:rPr>
          <w:rFonts w:ascii="Arial" w:hAnsi="Arial"/>
          <w:i/>
          <w:color w:val="333333"/>
          <w:sz w:val="22"/>
          <w:highlight w:val="white"/>
        </w:rPr>
        <w:t xml:space="preserve"> вправе применять упрощенные способы ведения бухгалтерского учета, а также для субъектов среднего предпринимательства, за исключением экономических субъектов, указанных в части 5 статьи 6 Федерального закона от 06.12.2011 N 402-ФЗ "О бухгалтерском учете").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94. </w:t>
      </w:r>
      <w:r>
        <w:rPr>
          <w:rFonts w:ascii="Arial" w:hAnsi="Arial"/>
          <w:color w:val="333333"/>
          <w:sz w:val="22"/>
          <w:highlight w:val="white"/>
        </w:rPr>
        <w:t xml:space="preserve">В целях выявления фактического наличия соответствующих объект</w:t>
      </w:r>
      <w:r>
        <w:rPr>
          <w:rFonts w:ascii="Arial" w:hAnsi="Arial"/>
          <w:color w:val="333333"/>
          <w:sz w:val="22"/>
          <w:highlight w:val="white"/>
        </w:rPr>
        <w:t xml:space="preserve">ов и сопоставления его с данными регистров бухгалтерского учета проводить инвентаризацию активов и обязательств. Утвердить случаи, при которых она проводится, сроки, порядок проведения, а также перечень объектов, подлежащих инвентаризации. // Приложение 6.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95.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перечень лиц, имеющих право подписи первичных документов. // Приложение 7.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96.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перечень бланков строгой отчетности. // Приложение 8.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97. </w:t>
      </w:r>
      <w:r>
        <w:rPr>
          <w:rFonts w:ascii="Arial" w:hAnsi="Arial"/>
          <w:color w:val="333333"/>
          <w:sz w:val="22"/>
          <w:highlight w:val="white"/>
        </w:rPr>
        <w:t xml:space="preserve">Утвердить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_________ </w:t>
      </w:r>
      <w:r>
        <w:rPr>
          <w:rFonts w:ascii="Arial" w:hAnsi="Arial"/>
          <w:color w:val="333333"/>
          <w:sz w:val="22"/>
          <w:highlight w:val="white"/>
        </w:rPr>
        <w:t xml:space="preserve">ответственным лицом за хранение, выдачу и обеспечение оперативного учета указанных бланков.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98. </w:t>
      </w:r>
      <w:r>
        <w:rPr>
          <w:rFonts w:ascii="Arial" w:hAnsi="Arial"/>
          <w:color w:val="333333"/>
          <w:sz w:val="22"/>
          <w:highlight w:val="white"/>
        </w:rPr>
        <w:t xml:space="preserve">Создать постоянно действующую комиссию для приемки бланков строгой отчетности в составе: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председатель: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члены комиссии: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99.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перечень должностных лиц, имеющих право на получение доверенностей. // Приложение 9.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100.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право подписи доверенностей на получение товарно-материальных ценностей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__________ </w:t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101. </w:t>
      </w:r>
      <w:r>
        <w:rPr>
          <w:rFonts w:ascii="Arial" w:hAnsi="Arial"/>
          <w:color w:val="333333"/>
          <w:sz w:val="22"/>
          <w:highlight w:val="white"/>
        </w:rPr>
        <w:t xml:space="preserve">Установить сроки: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 </w:t>
      </w:r>
      <w:r>
        <w:rPr>
          <w:rFonts w:ascii="Arial" w:hAnsi="Arial"/>
          <w:color w:val="333333"/>
          <w:sz w:val="22"/>
          <w:highlight w:val="white"/>
        </w:rPr>
        <w:t xml:space="preserve">дней использования доверенности,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дней отчетности по доверенности.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102. </w:t>
      </w:r>
      <w:r>
        <w:rPr>
          <w:rFonts w:ascii="Arial" w:hAnsi="Arial"/>
          <w:color w:val="333333"/>
          <w:sz w:val="22"/>
          <w:highlight w:val="white"/>
        </w:rPr>
        <w:t xml:space="preserve">Ответственность за организацию работ по ведению учета, хранения и выдачи трудовых книжек и исполнительных листов возложить на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_________ </w:t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103.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порядок осуществления внутреннего контроля совершаемых фактов хозяйственной жизни. // Приложение 10.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104.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порядок осуществления внутреннего контроля ведения бухгалтерского учета и составления бухгалт</w:t>
      </w:r>
      <w:r>
        <w:rPr>
          <w:rFonts w:ascii="Arial" w:hAnsi="Arial"/>
          <w:color w:val="333333"/>
          <w:sz w:val="22"/>
          <w:highlight w:val="white"/>
        </w:rPr>
        <w:t xml:space="preserve">ерской (финансовой) отчетности (для экономических субъектов, бухгалтерская (финансовая) отчетность которых подлежит обязательному аудиту, за исключением случаев, когда руководитель принял обязанность ведения бухгалтерского учета на себя). // Приложение 11.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105.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правила соблюдения порядка ведения кассовых операций. // Приложение 12.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106. </w:t>
      </w:r>
      <w:r>
        <w:rPr>
          <w:rFonts w:ascii="Arial" w:hAnsi="Arial"/>
          <w:color w:val="333333"/>
          <w:sz w:val="22"/>
          <w:highlight w:val="white"/>
        </w:rPr>
        <w:t xml:space="preserve">Предусмотреть внесение изменений в учетную политику на 2024 год в случаях: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изменения требований, установленных законодательством Российской Федерации о бухгалтерском учете, федеральными и (или) отраслевыми стандартами.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разработки или выборе нового способа ведения бухгалтерского учета, применение которого приводит к повышению качества информации об объекте бухгалтерского учета.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существенного изменения условий деятельности экономического субъекта.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107. </w:t>
      </w:r>
      <w:r>
        <w:rPr>
          <w:rFonts w:ascii="Arial" w:hAnsi="Arial"/>
          <w:color w:val="333333"/>
          <w:sz w:val="22"/>
          <w:highlight w:val="white"/>
        </w:rPr>
        <w:t xml:space="preserve">В целях обеспечения достоверности данных бухгалтерского учета и отчетности утвердить порядок контроля за отражением в учете хозяйственных операций. // Приложение 13.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b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108.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Порядок передачи документов бухгалтерского учета при смене </w:t>
      </w:r>
      <w:r>
        <w:rPr>
          <w:rFonts w:ascii="Arial" w:hAnsi="Arial"/>
          <w:b/>
          <w:color w:val="333333"/>
          <w:sz w:val="22"/>
          <w:highlight w:val="white"/>
        </w:rPr>
        <w:t xml:space="preserve">руководителя организации. // Приложение 14.</w:t>
      </w:r>
      <w:r>
        <w:rPr>
          <w:rFonts w:ascii="Arial" w:hAnsi="Arial"/>
          <w:b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109.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Создать комиссию в составе трех человек: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Члены комиссии (Ф.И.О., должность):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___________________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для проведения внезапной ревизии кассы. Установить периодичность проведения ревизии (указать периодичность).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___________________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Создать постоянно действующую комиссию для приема-передачи и списания объектов основных средств и оборудования в составе: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Председатель (Ф.И.О., должность):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smallCaps w:val="0"/>
          <w:color w:val="333333"/>
          <w:spacing w:val="0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___________________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color w:val="333333"/>
          <w:sz w:val="22"/>
          <w:highlight w:val="white"/>
        </w:rPr>
        <w:t xml:space="preserve">Члены комиссии (Ф.И.О., должность):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 w:firstLine="0"/>
        <w:spacing w:before="0" w:after="288" w:line="360" w:lineRule="auto"/>
        <w:widowControl/>
        <w:rPr>
          <w:rFonts w:ascii="Arial" w:hAnsi="Arial"/>
          <w:smallCaps w:val="0"/>
          <w:color w:val="333333"/>
          <w:spacing w:val="0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___________________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111.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Предусмотреть возможность внесения уточнений в учетную политику организации на 2024 год в связи с появлением фактов хозяйственной деятельности, которые отличны по существу от фактов, имевших место ранее, или возникли впервые в деятельности организации.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112. </w:t>
      </w:r>
      <w:r>
        <w:rPr>
          <w:rFonts w:ascii="Arial" w:hAnsi="Arial"/>
          <w:color w:val="333333"/>
          <w:sz w:val="22"/>
          <w:highlight w:val="white"/>
        </w:rPr>
        <w:t xml:space="preserve">Утвердить Рабочий план счетов бухгалтерского учета. // Приложение 14.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113. </w:t>
      </w:r>
      <w:r>
        <w:rPr>
          <w:rFonts w:ascii="Arial" w:hAnsi="Arial"/>
          <w:color w:val="333333"/>
          <w:sz w:val="22"/>
          <w:highlight w:val="white"/>
        </w:rPr>
        <w:t xml:space="preserve">Утвердить объем и формы бухгалтерской отчетности. // Приложение 15.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114. </w:t>
      </w:r>
      <w:r>
        <w:rPr>
          <w:rFonts w:ascii="Arial" w:hAnsi="Arial"/>
          <w:color w:val="333333"/>
          <w:sz w:val="22"/>
          <w:highlight w:val="white"/>
        </w:rPr>
        <w:t xml:space="preserve">Утвердить Перечень прямых и косвенных расходов, относящихся к конкретному виду деятельности, а также расходов, носящих общехозяйственный характер в целом по предприятию. // Приложение 16.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spacing w:after="288" w:line="360" w:lineRule="auto"/>
        <w:widowControl/>
        <w:rPr>
          <w:rFonts w:ascii="Arial" w:hAnsi="Arial"/>
          <w:b/>
          <w:color w:val="333333"/>
          <w:sz w:val="22"/>
          <w:highlight w:val="white"/>
        </w:rPr>
      </w:pPr>
      <w:r>
        <w:rPr>
          <w:rFonts w:ascii="Arial" w:hAnsi="Arial"/>
          <w:b/>
          <w:color w:val="333333"/>
          <w:sz w:val="22"/>
          <w:highlight w:val="white"/>
        </w:rPr>
      </w:r>
      <w:r>
        <w:rPr>
          <w:rFonts w:ascii="Arial" w:hAnsi="Arial"/>
          <w:b/>
          <w:color w:val="333333"/>
          <w:sz w:val="22"/>
          <w:highlight w:val="white"/>
        </w:rPr>
      </w:r>
    </w:p>
    <w:p>
      <w:pPr>
        <w:spacing w:after="288" w:line="360" w:lineRule="auto"/>
        <w:widowControl/>
        <w:rPr>
          <w:rFonts w:ascii="Georgia" w:hAnsi="Georgia"/>
          <w:color w:val="333333"/>
          <w:sz w:val="28"/>
          <w:highlight w:val="white"/>
        </w:rPr>
      </w:pPr>
      <w:r>
        <w:rPr>
          <w:rFonts w:ascii="Georgia" w:hAnsi="Georgia"/>
          <w:color w:val="333333"/>
          <w:sz w:val="28"/>
          <w:highlight w:val="white"/>
        </w:rPr>
        <w:t xml:space="preserve">Приложение 6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к Приказу о принятии учетной политики на предприятии от</w:t>
      </w:r>
      <w:r>
        <w:rPr>
          <w:rFonts w:ascii="Georgia" w:hAnsi="Georgia"/>
          <w:smallCaps w:val="0"/>
          <w:color w:val="333333"/>
          <w:spacing w:val="0"/>
          <w:sz w:val="28"/>
          <w:highlight w:val="white"/>
        </w:rPr>
        <w:t xml:space="preserve"> ________________</w:t>
      </w:r>
      <w:r>
        <w:rPr>
          <w:rFonts w:ascii="Georgia" w:hAnsi="Georgia"/>
          <w:color w:val="333333"/>
          <w:sz w:val="28"/>
          <w:highlight w:val="white"/>
        </w:rPr>
      </w:r>
    </w:p>
    <w:p>
      <w:pPr>
        <w:spacing w:after="288" w:line="360" w:lineRule="auto"/>
        <w:widowControl/>
        <w:rPr>
          <w:rFonts w:ascii="Georgia" w:hAnsi="Georgia"/>
          <w:color w:val="333333"/>
          <w:sz w:val="28"/>
          <w:highlight w:val="white"/>
        </w:rPr>
      </w:pPr>
      <w:r>
        <w:rPr>
          <w:rFonts w:ascii="Georgia" w:hAnsi="Georgia"/>
          <w:color w:val="333333"/>
          <w:sz w:val="28"/>
          <w:highlight w:val="white"/>
        </w:rPr>
        <w:t xml:space="preserve">№</w:t>
      </w:r>
      <w:r>
        <w:rPr>
          <w:rFonts w:ascii="Georgia" w:hAnsi="Georgia"/>
          <w:smallCaps w:val="0"/>
          <w:color w:val="333333"/>
          <w:spacing w:val="0"/>
          <w:sz w:val="28"/>
          <w:highlight w:val="white"/>
        </w:rPr>
        <w:t xml:space="preserve">_____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Инвентаризация активов и обязательств.</w:t>
      </w:r>
      <w:r>
        <w:rPr>
          <w:rFonts w:ascii="Georgia" w:hAnsi="Georgia"/>
          <w:color w:val="333333"/>
          <w:sz w:val="28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В целях выявления фактического наличия соответствующих объектов и сопоставления его с данными регистров бухгалтерского учета проводить инвентаризацию активов и обязательств в следующих случаях, в следующие сроки и в следующем объеме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 передаче имущества организации в аренду (безвозмездное пользование) или при его реализации (ином выбытии)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Перед составлением годовой бухгалтерской отчетности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 смене материально ответственных лиц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 установлении фактов хищений или злоупотреблений, а также порчи ценностей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случае стихийных бедствий, пожара, аварий или других чрезвычайных ситуаций, вызванных экстремальными условиями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 ликвидации (реорганизации) организации перед составлением ликвидационного (разделительного) баланса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других случаях, предусматриваемых законодательством Российской Федерации, федеральными или отраслевыми стандартами. Внезапная ревизия кассы проводится на основании отдельных приказов по предприятию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2. </w:t>
      </w:r>
      <w:r>
        <w:rPr>
          <w:rFonts w:ascii="Arial" w:hAnsi="Arial"/>
          <w:color w:val="333333"/>
          <w:sz w:val="22"/>
          <w:highlight w:val="white"/>
        </w:rPr>
        <w:t xml:space="preserve">Инвентаризацию проводить в порядке, предусмотренном Приказом Минфина РФ от 13.06.1995 № 49 «Об утверждении Методических указаний по инвентаризации имущества и финансовых обязательств»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3. </w:t>
      </w:r>
      <w:r>
        <w:rPr>
          <w:rFonts w:ascii="Arial" w:hAnsi="Arial"/>
          <w:color w:val="333333"/>
          <w:sz w:val="22"/>
          <w:highlight w:val="white"/>
        </w:rPr>
        <w:t xml:space="preserve">Создать постоянно действующую инвентаризационную комиссию в составе: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председатель: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</w:t>
      </w:r>
      <w:r>
        <w:rPr>
          <w:rFonts w:ascii="Arial" w:hAnsi="Arial"/>
          <w:color w:val="333333"/>
          <w:sz w:val="22"/>
          <w:highlight w:val="white"/>
        </w:rPr>
        <w:t xml:space="preserve">;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члены комиссии: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_________________;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_________________;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4. </w:t>
      </w:r>
      <w:r>
        <w:rPr>
          <w:rFonts w:ascii="Arial" w:hAnsi="Arial"/>
          <w:color w:val="333333"/>
          <w:sz w:val="22"/>
          <w:highlight w:val="white"/>
        </w:rPr>
        <w:t xml:space="preserve">Создать комиссию в составе трех человек: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smallCaps w:val="0"/>
          <w:color w:val="333333"/>
          <w:spacing w:val="0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_________________;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</w:t>
      </w:r>
      <w:r>
        <w:rPr>
          <w:rFonts w:ascii="Arial" w:hAnsi="Arial"/>
          <w:color w:val="333333"/>
          <w:sz w:val="22"/>
          <w:highlight w:val="white"/>
        </w:rPr>
        <w:t xml:space="preserve">;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</w:t>
      </w:r>
      <w:r>
        <w:rPr>
          <w:rFonts w:ascii="Arial" w:hAnsi="Arial"/>
          <w:color w:val="333333"/>
          <w:sz w:val="22"/>
          <w:highlight w:val="white"/>
        </w:rPr>
        <w:t xml:space="preserve">;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(Ф.И.О., должность)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для проведения внезапной ревизии кассы. Установить периодичность проведения ревизии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_________________</w:t>
      </w:r>
      <w:r>
        <w:rPr>
          <w:rFonts w:ascii="Arial" w:hAnsi="Arial"/>
          <w:color w:val="333333"/>
          <w:sz w:val="22"/>
          <w:highlight w:val="white"/>
        </w:rPr>
        <w:br/>
      </w:r>
      <w:r>
        <w:rPr>
          <w:rFonts w:ascii="Arial" w:hAnsi="Arial"/>
          <w:color w:val="333333"/>
          <w:sz w:val="22"/>
          <w:highlight w:val="white"/>
        </w:rPr>
        <w:t xml:space="preserve">(указать периодичность)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spacing w:after="288" w:line="360" w:lineRule="auto"/>
        <w:widowControl/>
        <w:rPr>
          <w:rFonts w:ascii="Georgia" w:hAnsi="Georgia"/>
          <w:color w:val="333333"/>
          <w:sz w:val="28"/>
          <w:highlight w:val="white"/>
        </w:rPr>
      </w:pPr>
      <w:r>
        <w:rPr>
          <w:rFonts w:ascii="Georgia" w:hAnsi="Georgia"/>
          <w:color w:val="333333"/>
          <w:sz w:val="28"/>
          <w:highlight w:val="white"/>
        </w:rPr>
        <w:t xml:space="preserve">Приложение 10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к Приказу о принятии учетной политики на предприятии от ____ №_________.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Порядок осуществления внутреннего контроля совершаемых фактов хозяйственной жизни.</w:t>
      </w:r>
      <w:r>
        <w:rPr>
          <w:rFonts w:ascii="Georgia" w:hAnsi="Georgia"/>
          <w:color w:val="333333"/>
          <w:sz w:val="28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1. </w:t>
      </w:r>
      <w:r>
        <w:rPr>
          <w:rFonts w:ascii="Arial" w:hAnsi="Arial"/>
          <w:color w:val="333333"/>
          <w:sz w:val="22"/>
          <w:highlight w:val="white"/>
        </w:rPr>
        <w:t xml:space="preserve">Внутренний контроль совершаемых фактов хозяйственной жизни - непрерывный процесс, осуществляемый руководством и сотрудниками предприятия, направленный на получение достаточной уверенности в том,</w:t>
      </w:r>
      <w:r>
        <w:rPr>
          <w:rFonts w:ascii="Arial" w:hAnsi="Arial"/>
          <w:color w:val="333333"/>
          <w:sz w:val="22"/>
          <w:highlight w:val="white"/>
        </w:rPr>
        <w:t xml:space="preserve"> что организация обеспечивает эффективность и результативность своей деятельности, в том числе достижение финансовых и операционных показателей, сохранность активов, а также соблюдение применимого законодательства при совершении фактов хозяйственной жизни.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2. </w:t>
      </w:r>
      <w:r>
        <w:rPr>
          <w:rFonts w:ascii="Arial" w:hAnsi="Arial"/>
          <w:color w:val="333333"/>
          <w:sz w:val="22"/>
          <w:highlight w:val="white"/>
        </w:rPr>
        <w:t xml:space="preserve">Контрольная среда – сово</w:t>
      </w:r>
      <w:r>
        <w:rPr>
          <w:rFonts w:ascii="Arial" w:hAnsi="Arial"/>
          <w:color w:val="333333"/>
          <w:sz w:val="22"/>
          <w:highlight w:val="white"/>
        </w:rPr>
        <w:t xml:space="preserve">купность принципов и стандартов деятельности предприятия, которые определяют общее понимание внутреннего контроля и требования к внутреннему контролю на уровне организации в целом. Положения, касающиеся контрольной среды, закреплены в следующих документах: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«Миссия компании»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«Кодекс корпоративного управления и деловой этики»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«Кадровая политика»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«Положения об отдельных подразделениях и службах»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«Учетная политика»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другие аналогичные внутренние документы и регламенты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3. </w:t>
      </w:r>
      <w:r>
        <w:rPr>
          <w:rFonts w:ascii="Arial" w:hAnsi="Arial"/>
          <w:color w:val="333333"/>
          <w:sz w:val="22"/>
          <w:highlight w:val="white"/>
        </w:rPr>
        <w:t xml:space="preserve">Процедуры внутреннего контроля, применяемые на предприятии: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Документальное оф</w:t>
      </w:r>
      <w:r>
        <w:rPr>
          <w:rFonts w:ascii="Arial" w:hAnsi="Arial"/>
          <w:i/>
          <w:color w:val="333333"/>
          <w:sz w:val="22"/>
          <w:highlight w:val="white"/>
        </w:rPr>
        <w:t xml:space="preserve">ормление (осуществление записей в регистрах бухгалтерского учета на основе первичных учетных документов, в том числе бухгалтерских справок; включение в бухгалтерскую (финансовую) отчетность существенных оценочных значений исключительно на основе расчетов);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Контроль взаимосвязанных фактов хозяйственной жизни (например, соотнесение перечисления денежных средств в оплату материальных ценностей с получением и оприходованием этих ценностей);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Санкционирован</w:t>
      </w:r>
      <w:r>
        <w:rPr>
          <w:rFonts w:ascii="Arial" w:hAnsi="Arial"/>
          <w:i/>
          <w:color w:val="333333"/>
          <w:sz w:val="22"/>
          <w:highlight w:val="white"/>
        </w:rPr>
        <w:t xml:space="preserve">ие (авторизация) сделок и операций, обеспечивающее подтверждение правомочности совершения их. Выполняется персоналом более высокого уровня, чем лицо, осуществляющее сделку или операцию (например, утверждение авансового отчета сотрудника его руководителем);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Сверка данных (например, сверка </w:t>
      </w:r>
      <w:r>
        <w:rPr>
          <w:rFonts w:ascii="Arial" w:hAnsi="Arial"/>
          <w:i/>
          <w:color w:val="333333"/>
          <w:sz w:val="22"/>
          <w:highlight w:val="white"/>
        </w:rPr>
        <w:t xml:space="preserve">расчетов экономического субъекта с поставщиками и покупателями для подтверждения сумм дебиторской и кредиторской задолженности; сверка остатков по счетам бухгалтерского учета наличных денежных средств с остатками денежных средств по данным кассовой книги);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Разграничение полномочий и ротация обязанностей (например, возложение п</w:t>
      </w:r>
      <w:r>
        <w:rPr>
          <w:rFonts w:ascii="Arial" w:hAnsi="Arial"/>
          <w:i/>
          <w:color w:val="333333"/>
          <w:sz w:val="22"/>
          <w:highlight w:val="white"/>
        </w:rPr>
        <w:t xml:space="preserve">олномочий по составлению первичных учетных документов, санкционированию (авторизации) сделок и операций и отражению их результатов в бухгалтерском учете на разных лиц на ограниченный период с целью уменьшения рисков возникновения ошибок и злоупотреблений);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Процедуры контроля фактического наличия и состояния объектов, в том числе физическая охрана, ограничение доступа, инвентаризация;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Надзор, обеспечивающий оценку достижения поставленных целей или показателей (например, точности составления бюджетов (смет, планов), соблюдения установленных сроков составления бухгалтерской (финансовой) отчетности);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Процедуры, связанные с компьютерной обработкой информации и информационными системами.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4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Распределение полномочий и функций по организации и осуществлению внутреннего контроля: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Генеральный директор отвечает за организацию и осуществление внутреннего контроля совершаемых фактов хозяйственной жизни, ведения бухгалтерского учета и составления бухгалтерской (финансовой) отчетности в целом.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Главный бухгалтер отвечает за организацию и осуществление внутреннего контроля ведения бухгалтерского учета и составления бухгалтерской (финансовой) отчетности.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Руководители подразделений и иной персонал в соответствии со своими полномочиями и функциями: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Внутренний аудитор (или иное должностное лицо, на которое возложены соответствующие функции по внутреннему контролю):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5. </w:t>
      </w:r>
      <w:r>
        <w:rPr>
          <w:rFonts w:ascii="Arial" w:hAnsi="Arial"/>
          <w:color w:val="333333"/>
          <w:sz w:val="22"/>
          <w:highlight w:val="white"/>
        </w:rPr>
        <w:t xml:space="preserve">Внутренний контроль осуществляется в следующих формах: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Предварительный -</w:t>
      </w:r>
      <w:r>
        <w:rPr>
          <w:rFonts w:ascii="Arial" w:hAnsi="Arial"/>
          <w:i/>
          <w:color w:val="333333"/>
          <w:sz w:val="22"/>
          <w:highlight w:val="white"/>
        </w:rPr>
        <w:t xml:space="preserve"> проводится до начала совершения и для предупреждения незаконност</w:t>
      </w:r>
      <w:r>
        <w:rPr>
          <w:rFonts w:ascii="Arial" w:hAnsi="Arial"/>
          <w:i/>
          <w:color w:val="333333"/>
          <w:sz w:val="22"/>
          <w:highlight w:val="white"/>
        </w:rPr>
        <w:t xml:space="preserve">и и нецелесообразности проведения фактов хозяйственной жизни. Предварительный контроль осуществляет руководитель, его заместители, главный бухгалтер, сотрудники юридического отдела и другие сотрудники, ответственные за совершение фактов хозяйственной жизни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Текущий - осуществляется в процессе совершения фактов хозяйственной жизни для оперативного устранения недостатков. Ведение текущего контроля осуществляется на постоянной основе всеми работниками предприятия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8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Последующий - проводится по итогам совершен</w:t>
      </w:r>
      <w:r>
        <w:rPr>
          <w:rFonts w:ascii="Arial" w:hAnsi="Arial"/>
          <w:i/>
          <w:color w:val="333333"/>
          <w:sz w:val="22"/>
          <w:highlight w:val="white"/>
        </w:rPr>
        <w:t xml:space="preserve">ия хозяйственных операций для установления достоверности отчетных данных и осуществляется путем анализа и проверки бухгалтерской документации и отчетности, выявления нарушений и принятия мер по их устранению. При проведении последующего контроля участвуют </w:t>
      </w:r>
      <w:r>
        <w:rPr>
          <w:rFonts w:ascii="Arial" w:hAnsi="Arial"/>
          <w:i/>
          <w:color w:val="333333"/>
          <w:sz w:val="22"/>
          <w:highlight w:val="white"/>
        </w:rPr>
        <w:t xml:space="preserve">работники бухгалтерии и иных заинтересованных служб</w:t>
      </w:r>
      <w:r>
        <w:rPr>
          <w:rFonts w:ascii="Arial" w:hAnsi="Arial"/>
          <w:i/>
          <w:color w:val="333333"/>
          <w:sz w:val="28"/>
          <w:highlight w:val="white"/>
        </w:rPr>
      </w:r>
    </w:p>
    <w:p>
      <w:pPr>
        <w:spacing w:after="288" w:line="360" w:lineRule="auto"/>
        <w:widowControl/>
        <w:rPr>
          <w:rFonts w:ascii="Georgia" w:hAnsi="Georgia"/>
          <w:color w:val="333333"/>
          <w:sz w:val="28"/>
          <w:highlight w:val="white"/>
        </w:rPr>
      </w:pPr>
      <w:r>
        <w:rPr>
          <w:rFonts w:ascii="Georgia" w:hAnsi="Georgia"/>
          <w:color w:val="333333"/>
          <w:sz w:val="28"/>
          <w:highlight w:val="white"/>
        </w:rPr>
        <w:t xml:space="preserve">Приложение 11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к Приказу о принятии учетной политики на предприятии от№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Порядок осуществления внутреннего контроля ведения бухгалтерского учета и составления бухгалтерской (финансовой) отчетности</w:t>
      </w:r>
      <w:r>
        <w:rPr>
          <w:rFonts w:ascii="Georgia" w:hAnsi="Georgia"/>
          <w:color w:val="333333"/>
          <w:sz w:val="28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1. </w:t>
      </w:r>
      <w:r>
        <w:rPr>
          <w:rFonts w:ascii="Arial" w:hAnsi="Arial"/>
          <w:color w:val="333333"/>
          <w:sz w:val="22"/>
          <w:highlight w:val="white"/>
        </w:rPr>
        <w:t xml:space="preserve">Внутренний контроль ведения бухгалтерского учета и составления бухгалтерской (финансовой) отчетности - процесс, осуществляемый работниками бухгалтерии и вну</w:t>
      </w:r>
      <w:r>
        <w:rPr>
          <w:rFonts w:ascii="Arial" w:hAnsi="Arial"/>
          <w:color w:val="333333"/>
          <w:sz w:val="22"/>
          <w:highlight w:val="white"/>
        </w:rPr>
        <w:t xml:space="preserve">тренним аудитором, направленный на получение достаточной уверенности в том, что организация обеспечивает достоверность и своевременность бухгалтерской (финансовой) отчетности, а также соблюдение применимого законодательства при ведении бухгалтерского учета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2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Риски искажения учетных и отчетных данных оцениваются исходя из следующих допущений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возникновение и существование: факты хозяйственной жизни, отраженные в бухгалтерском учете, имели место в отчетном периоде и относятся к деятельности предприятия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полнота: факты хозяйственной жизни, имевшие место в отчетном периоде и подлежащие отнесению к этому периоду, фактически отражены в бухгалтерском учете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права и обязательства: имущество, имущественные права и обязательства предприятия, отраженные в бухгалтерском учете, фактически существуют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оценка и распределение: активы, обязательства, доходы и расходы отражены в правильном стоимостном измерении на соответствующих счетах бухгалтерского учета и в соответствующих регистрах бухгалтерского учета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3</w:t>
      </w: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. </w:t>
      </w:r>
      <w:r>
        <w:rPr>
          <w:rFonts w:ascii="Arial" w:hAnsi="Arial"/>
          <w:color w:val="333333"/>
          <w:sz w:val="22"/>
          <w:highlight w:val="white"/>
        </w:rPr>
        <w:t xml:space="preserve">В остальной части при осуществлении внутреннего контроля ведения бухгалтерского учета и составления бухгалтерской (финансовой) отчетности руководствоваться Порядком, описанным в Приложении 10 к настоящему Приказу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spacing w:after="288" w:line="360" w:lineRule="auto"/>
        <w:widowControl/>
        <w:rPr>
          <w:rFonts w:ascii="Georgia" w:hAnsi="Georgia"/>
          <w:color w:val="333333"/>
          <w:sz w:val="28"/>
          <w:highlight w:val="white"/>
        </w:rPr>
      </w:pPr>
      <w:r>
        <w:rPr>
          <w:rFonts w:ascii="Georgia" w:hAnsi="Georgia"/>
          <w:color w:val="333333"/>
          <w:sz w:val="28"/>
          <w:highlight w:val="white"/>
        </w:rPr>
        <w:t xml:space="preserve">Приложение 12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к Приказу о принятии учетной политики на предприятии от№</w:t>
      </w:r>
      <w:r>
        <w:rPr>
          <w:rFonts w:ascii="Georgia" w:hAnsi="Georgia"/>
          <w:color w:val="333333"/>
          <w:sz w:val="28"/>
          <w:highlight w:val="white"/>
        </w:rPr>
        <w:br/>
      </w:r>
      <w:r>
        <w:rPr>
          <w:rFonts w:ascii="Georgia" w:hAnsi="Georgia"/>
          <w:color w:val="333333"/>
          <w:sz w:val="28"/>
          <w:highlight w:val="white"/>
        </w:rPr>
        <w:t xml:space="preserve">Правила соблюдения порядка ведения кассовых операций.</w:t>
      </w:r>
      <w:r>
        <w:rPr>
          <w:rFonts w:ascii="Georgia" w:hAnsi="Georgia"/>
          <w:color w:val="333333"/>
          <w:sz w:val="28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1. </w:t>
      </w:r>
      <w:r>
        <w:rPr>
          <w:rFonts w:ascii="Arial" w:hAnsi="Arial"/>
          <w:color w:val="333333"/>
          <w:sz w:val="22"/>
          <w:highlight w:val="white"/>
        </w:rPr>
        <w:t xml:space="preserve">Лимит остатка наличных денег в кассе головного предприятия и в</w:t>
      </w:r>
      <w:r>
        <w:rPr>
          <w:rFonts w:ascii="Arial" w:hAnsi="Arial"/>
          <w:color w:val="333333"/>
          <w:sz w:val="22"/>
          <w:highlight w:val="white"/>
        </w:rPr>
        <w:t xml:space="preserve"> кассах обособленных подразделений устанавливается отдельным приказом руководителя на основании расчета, представленного главным бухгалтером с учетом объемов поступлений или объемов выдач наличных денег. Величина лимита корректируется по мере необходимости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2. </w:t>
      </w:r>
      <w:r>
        <w:rPr>
          <w:rFonts w:ascii="Arial" w:hAnsi="Arial"/>
          <w:color w:val="333333"/>
          <w:sz w:val="22"/>
          <w:highlight w:val="white"/>
        </w:rPr>
        <w:t xml:space="preserve">В качестве места для проведения кассовых операций и хранения максимально допустимой суммы денежной наличности определить следующие помещения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месту нахождения головного предприятия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по месту нахождения обособленных подразделений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3. </w:t>
      </w:r>
      <w:r>
        <w:rPr>
          <w:rFonts w:ascii="Arial" w:hAnsi="Arial"/>
          <w:color w:val="333333"/>
          <w:sz w:val="22"/>
          <w:highlight w:val="white"/>
        </w:rPr>
        <w:t xml:space="preserve">Экземпляр приказа об установлении лимита по обособленным подразделениям направляется в соответствующее подразделение не позднее чем за() рабочих дней до момента его вступления в силу.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4. </w:t>
      </w:r>
      <w:r>
        <w:rPr>
          <w:rFonts w:ascii="Arial" w:hAnsi="Arial"/>
          <w:color w:val="333333"/>
          <w:sz w:val="22"/>
          <w:highlight w:val="white"/>
        </w:rPr>
        <w:t xml:space="preserve">Приказ об установлении лимита хранится в папке общих приказов по предприятию.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5. </w:t>
      </w:r>
      <w:r>
        <w:rPr>
          <w:rFonts w:ascii="Arial" w:hAnsi="Arial"/>
          <w:color w:val="333333"/>
          <w:sz w:val="22"/>
          <w:highlight w:val="white"/>
        </w:rPr>
        <w:t xml:space="preserve">В качестве мероприятий по обеспечению сохранности наличных денег при ведении кассовых операций, хранении и транспортировке утвердить следующие правила: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Место для проведения кассовых операций и хранения максимально допустимой суммы денежной наличности должно отвечать следующим требованиям: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При транспортировке денежных средств из учреж</w:t>
      </w:r>
      <w:r>
        <w:rPr>
          <w:rFonts w:ascii="Arial" w:hAnsi="Arial"/>
          <w:i/>
          <w:color w:val="333333"/>
          <w:sz w:val="22"/>
          <w:highlight w:val="white"/>
        </w:rPr>
        <w:t xml:space="preserve">дений банков или сдаче в них руководитель предприятия должен предоставить кассиру охрану и, в случае необходимости, транспортное средство. При транспортировке денежных средств кассиру, сопровождающим его лицам и водителю транспортного средства запрещается: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6. </w:t>
      </w:r>
      <w:r>
        <w:rPr>
          <w:rFonts w:ascii="Arial" w:hAnsi="Arial"/>
          <w:color w:val="333333"/>
          <w:sz w:val="22"/>
          <w:highlight w:val="white"/>
        </w:rPr>
        <w:t xml:space="preserve">Порядок и сроки проведения проверок фактического наличия наличных денег утвердить в Приложении 6 к Приказу о принятии учетной политики на предприятии от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 </w:t>
      </w:r>
      <w:r>
        <w:rPr>
          <w:rFonts w:ascii="Arial" w:hAnsi="Arial"/>
          <w:color w:val="333333"/>
          <w:sz w:val="22"/>
          <w:highlight w:val="white"/>
        </w:rPr>
        <w:t xml:space="preserve">№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7. </w:t>
      </w:r>
      <w:r>
        <w:rPr>
          <w:rFonts w:ascii="Arial" w:hAnsi="Arial"/>
          <w:color w:val="333333"/>
          <w:sz w:val="22"/>
          <w:highlight w:val="white"/>
        </w:rPr>
        <w:t xml:space="preserve">Расчеты с подотчетными лицами осуществляются как в наличном, так и в безналичном порядке. Выдача денежных средств под отчет и компенсация документально подтвержденных хозяйственных расходов безналичным </w:t>
      </w:r>
      <w:r>
        <w:rPr>
          <w:rFonts w:ascii="Arial" w:hAnsi="Arial"/>
          <w:color w:val="333333"/>
          <w:sz w:val="22"/>
          <w:highlight w:val="white"/>
        </w:rPr>
        <w:t xml:space="preserve">способом осуществляются по заявлению подотчетного лица с указанием в нем реквизитов, необходимых для перечисления на счет работника, открытый в кредитной организации, с применением как банковских карт, используемых в рамках зарплатного проекта, так и иных.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8. </w:t>
      </w:r>
      <w:r>
        <w:rPr>
          <w:rFonts w:ascii="Arial" w:hAnsi="Arial"/>
          <w:color w:val="333333"/>
          <w:sz w:val="22"/>
          <w:highlight w:val="white"/>
        </w:rPr>
        <w:t xml:space="preserve">Проверка авансового отчета главным бухгалтером (или бухгалтером), его утверждение руководителем и окончательный расчет по авансовому отчету осуществляется не позднее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__________</w:t>
      </w:r>
      <w:r>
        <w:rPr>
          <w:rFonts w:ascii="Arial" w:hAnsi="Arial"/>
          <w:color w:val="333333"/>
          <w:sz w:val="22"/>
          <w:highlight w:val="white"/>
        </w:rPr>
        <w:t xml:space="preserve">(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___</w:t>
      </w:r>
      <w:r>
        <w:rPr>
          <w:rFonts w:ascii="Arial" w:hAnsi="Arial"/>
          <w:color w:val="333333"/>
          <w:sz w:val="22"/>
          <w:highlight w:val="white"/>
        </w:rPr>
        <w:t xml:space="preserve">) рабочих дней с момента его представления подотчетным лицом.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9.</w:t>
      </w:r>
      <w:r>
        <w:rPr>
          <w:rFonts w:ascii="Arial" w:hAnsi="Arial"/>
          <w:smallCaps w:val="0"/>
          <w:color w:val="333333"/>
          <w:spacing w:val="0"/>
          <w:sz w:val="22"/>
          <w:highlight w:val="white"/>
        </w:rPr>
        <w:t xml:space="preserve"> </w:t>
      </w:r>
      <w:r>
        <w:rPr>
          <w:rFonts w:ascii="Arial" w:hAnsi="Arial"/>
          <w:color w:val="333333"/>
          <w:sz w:val="22"/>
          <w:highlight w:val="white"/>
        </w:rPr>
        <w:t xml:space="preserve">Лимит остатка наличных денег (для организаций - субъектов малого предпринимательства)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устанавливать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не устанавливать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b/>
          <w:smallCaps w:val="0"/>
          <w:color w:val="333333"/>
          <w:spacing w:val="0"/>
          <w:sz w:val="22"/>
          <w:highlight w:val="white"/>
        </w:rPr>
        <w:t xml:space="preserve">10. </w:t>
      </w:r>
      <w:r>
        <w:rPr>
          <w:rFonts w:ascii="Arial" w:hAnsi="Arial"/>
          <w:color w:val="333333"/>
          <w:sz w:val="22"/>
          <w:highlight w:val="white"/>
        </w:rPr>
        <w:t xml:space="preserve">Обособленным подразделениям передавать в бухгалтерию головного предприятия копии листов кассовой книги </w:t>
      </w:r>
      <w:r>
        <w:rPr>
          <w:rFonts w:ascii="Arial" w:hAnsi="Arial"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rFonts w:ascii="Arial" w:hAnsi="Arial"/>
          <w:i/>
          <w:color w:val="333333"/>
          <w:sz w:val="22"/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ежемесячно, не позднее 5-го числа месяца, следующего за отчетным</w:t>
      </w:r>
      <w:r>
        <w:rPr>
          <w:rFonts w:ascii="Arial" w:hAnsi="Arial"/>
          <w:i/>
          <w:color w:val="333333"/>
          <w:sz w:val="22"/>
          <w:highlight w:val="white"/>
        </w:rPr>
      </w:r>
    </w:p>
    <w:p>
      <w:pPr>
        <w:ind w:left="0" w:right="0"/>
        <w:spacing w:before="0" w:after="288" w:line="360" w:lineRule="auto"/>
        <w:widowControl/>
        <w:rPr>
          <w:highlight w:val="white"/>
        </w:rPr>
        <w:pBdr>
          <w:top w:val="single" w:color="828282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/>
          <w:i/>
          <w:color w:val="333333"/>
          <w:sz w:val="22"/>
          <w:highlight w:val="white"/>
        </w:rPr>
        <w:t xml:space="preserve">в ином порядке</w:t>
      </w:r>
      <w:r>
        <w:rPr>
          <w:highlight w:val="white"/>
        </w:rPr>
      </w:r>
    </w:p>
    <w:sectPr>
      <w:footnotePr/>
      <w:endnotePr/>
      <w:type w:val="nextPage"/>
      <w:pgSz w:w="12240" w:h="15840" w:orient="portrait"/>
      <w:pgMar w:top="1440" w:right="1440" w:bottom="1440" w:left="1440" w:header="72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XO Thames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6"/>
    <w:link w:val="63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56"/>
    <w:link w:val="66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56"/>
    <w:link w:val="63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56"/>
    <w:link w:val="662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6"/>
    <w:link w:val="636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56"/>
    <w:link w:val="660"/>
    <w:uiPriority w:val="10"/>
    <w:rPr>
      <w:sz w:val="48"/>
      <w:szCs w:val="48"/>
    </w:rPr>
  </w:style>
  <w:style w:type="character" w:styleId="37">
    <w:name w:val="Subtitle Char"/>
    <w:basedOn w:val="656"/>
    <w:link w:val="658"/>
    <w:uiPriority w:val="11"/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6"/>
    <w:link w:val="42"/>
    <w:uiPriority w:val="99"/>
  </w:style>
  <w:style w:type="paragraph" w:styleId="44">
    <w:name w:val="Footer"/>
    <w:basedOn w:val="61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6"/>
    <w:link w:val="44"/>
    <w:uiPriority w:val="99"/>
  </w:style>
  <w:style w:type="paragraph" w:styleId="46">
    <w:name w:val="Caption"/>
    <w:basedOn w:val="618"/>
    <w:next w:val="61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6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6"/>
    <w:uiPriority w:val="99"/>
    <w:unhideWhenUsed/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6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7" w:default="1">
    <w:name w:val="Normal"/>
    <w:link w:val="618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after="160" w:line="264" w:lineRule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</w:pPr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/>
    </w:rPr>
  </w:style>
  <w:style w:type="character" w:styleId="618" w:default="1">
    <w:name w:val="Normal"/>
    <w:link w:val="617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/>
    </w:rPr>
  </w:style>
  <w:style w:type="paragraph" w:styleId="619">
    <w:name w:val="toc 2"/>
    <w:next w:val="617"/>
    <w:link w:val="620"/>
    <w:uiPriority w:val="39"/>
    <w:pPr>
      <w:ind w:left="200" w:firstLine="0"/>
      <w:jc w:val="left"/>
      <w:widowControl/>
    </w:pPr>
    <w:rPr>
      <w:rFonts w:ascii="XO Thames" w:hAnsi="XO Thames"/>
      <w:sz w:val="28"/>
    </w:rPr>
  </w:style>
  <w:style w:type="character" w:styleId="620">
    <w:name w:val="toc 2"/>
    <w:link w:val="619"/>
    <w:rPr>
      <w:rFonts w:ascii="XO Thames" w:hAnsi="XO Thames"/>
      <w:sz w:val="28"/>
    </w:rPr>
  </w:style>
  <w:style w:type="paragraph" w:styleId="621">
    <w:name w:val="toc 4"/>
    <w:next w:val="617"/>
    <w:link w:val="622"/>
    <w:uiPriority w:val="39"/>
    <w:pPr>
      <w:ind w:left="600" w:firstLine="0"/>
      <w:jc w:val="left"/>
      <w:widowControl/>
    </w:pPr>
    <w:rPr>
      <w:rFonts w:ascii="XO Thames" w:hAnsi="XO Thames"/>
      <w:sz w:val="28"/>
    </w:rPr>
  </w:style>
  <w:style w:type="character" w:styleId="622">
    <w:name w:val="toc 4"/>
    <w:link w:val="621"/>
    <w:rPr>
      <w:rFonts w:ascii="XO Thames" w:hAnsi="XO Thames"/>
      <w:sz w:val="28"/>
    </w:rPr>
  </w:style>
  <w:style w:type="paragraph" w:styleId="623">
    <w:name w:val="toc 6"/>
    <w:next w:val="617"/>
    <w:link w:val="624"/>
    <w:uiPriority w:val="39"/>
    <w:pPr>
      <w:ind w:left="1000" w:firstLine="0"/>
      <w:jc w:val="left"/>
      <w:widowControl/>
    </w:pPr>
    <w:rPr>
      <w:rFonts w:ascii="XO Thames" w:hAnsi="XO Thames"/>
      <w:sz w:val="28"/>
    </w:rPr>
  </w:style>
  <w:style w:type="character" w:styleId="624">
    <w:name w:val="toc 6"/>
    <w:link w:val="623"/>
    <w:rPr>
      <w:rFonts w:ascii="XO Thames" w:hAnsi="XO Thames"/>
      <w:sz w:val="28"/>
    </w:rPr>
  </w:style>
  <w:style w:type="paragraph" w:styleId="625">
    <w:name w:val="toc 7"/>
    <w:next w:val="617"/>
    <w:link w:val="626"/>
    <w:uiPriority w:val="39"/>
    <w:pPr>
      <w:ind w:left="1200" w:firstLine="0"/>
      <w:jc w:val="left"/>
      <w:widowControl/>
    </w:pPr>
    <w:rPr>
      <w:rFonts w:ascii="XO Thames" w:hAnsi="XO Thames"/>
      <w:sz w:val="28"/>
    </w:rPr>
  </w:style>
  <w:style w:type="character" w:styleId="626">
    <w:name w:val="toc 7"/>
    <w:link w:val="625"/>
    <w:rPr>
      <w:rFonts w:ascii="XO Thames" w:hAnsi="XO Thames"/>
      <w:sz w:val="28"/>
    </w:rPr>
  </w:style>
  <w:style w:type="paragraph" w:styleId="627">
    <w:name w:val="Endnote"/>
    <w:link w:val="628"/>
    <w:pPr>
      <w:ind w:left="0" w:firstLine="851"/>
      <w:jc w:val="both"/>
      <w:widowControl/>
    </w:pPr>
    <w:rPr>
      <w:rFonts w:ascii="XO Thames" w:hAnsi="XO Thames"/>
      <w:sz w:val="22"/>
    </w:rPr>
  </w:style>
  <w:style w:type="character" w:styleId="628">
    <w:name w:val="Endnote"/>
    <w:link w:val="627"/>
    <w:rPr>
      <w:rFonts w:ascii="XO Thames" w:hAnsi="XO Thames"/>
      <w:sz w:val="22"/>
    </w:rPr>
  </w:style>
  <w:style w:type="paragraph" w:styleId="629">
    <w:name w:val="Heading 3"/>
    <w:next w:val="617"/>
    <w:link w:val="630"/>
    <w:uiPriority w:val="9"/>
    <w:qFormat/>
    <w:pPr>
      <w:jc w:val="both"/>
      <w:spacing w:before="120" w:after="120"/>
      <w:widowControl/>
      <w:outlineLvl w:val="2"/>
    </w:pPr>
    <w:rPr>
      <w:rFonts w:ascii="XO Thames" w:hAnsi="XO Thames"/>
      <w:b/>
      <w:sz w:val="26"/>
    </w:rPr>
  </w:style>
  <w:style w:type="character" w:styleId="630">
    <w:name w:val="Heading 3"/>
    <w:link w:val="629"/>
    <w:rPr>
      <w:rFonts w:ascii="XO Thames" w:hAnsi="XO Thames"/>
      <w:b/>
      <w:sz w:val="26"/>
    </w:rPr>
  </w:style>
  <w:style w:type="paragraph" w:styleId="631">
    <w:name w:val="Unresolved Mention1"/>
    <w:basedOn w:val="655"/>
    <w:link w:val="632"/>
    <w:rPr>
      <w:color w:val="605e5c"/>
      <w:shd w:val="clear" w:color="auto" w:fill="e1dfdd"/>
    </w:rPr>
  </w:style>
  <w:style w:type="character" w:styleId="632">
    <w:name w:val="Unresolved Mention1"/>
    <w:basedOn w:val="656"/>
    <w:link w:val="631"/>
    <w:rPr>
      <w:color w:val="605e5c"/>
      <w:shd w:val="clear" w:color="auto" w:fill="e1dfdd"/>
    </w:rPr>
  </w:style>
  <w:style w:type="paragraph" w:styleId="633">
    <w:name w:val="toc 3"/>
    <w:next w:val="617"/>
    <w:link w:val="634"/>
    <w:uiPriority w:val="39"/>
    <w:pPr>
      <w:ind w:left="400" w:firstLine="0"/>
      <w:jc w:val="left"/>
      <w:widowControl/>
    </w:pPr>
    <w:rPr>
      <w:rFonts w:ascii="XO Thames" w:hAnsi="XO Thames"/>
      <w:sz w:val="28"/>
    </w:rPr>
  </w:style>
  <w:style w:type="character" w:styleId="634">
    <w:name w:val="toc 3"/>
    <w:link w:val="633"/>
    <w:rPr>
      <w:rFonts w:ascii="XO Thames" w:hAnsi="XO Thames"/>
      <w:sz w:val="28"/>
    </w:rPr>
  </w:style>
  <w:style w:type="paragraph" w:styleId="635">
    <w:name w:val="Heading 5"/>
    <w:next w:val="617"/>
    <w:link w:val="636"/>
    <w:uiPriority w:val="9"/>
    <w:qFormat/>
    <w:pPr>
      <w:jc w:val="both"/>
      <w:spacing w:before="120" w:after="120"/>
      <w:widowControl/>
      <w:outlineLvl w:val="4"/>
    </w:pPr>
    <w:rPr>
      <w:rFonts w:ascii="XO Thames" w:hAnsi="XO Thames"/>
      <w:b/>
      <w:sz w:val="22"/>
    </w:rPr>
  </w:style>
  <w:style w:type="character" w:styleId="636">
    <w:name w:val="Heading 5"/>
    <w:link w:val="635"/>
    <w:rPr>
      <w:rFonts w:ascii="XO Thames" w:hAnsi="XO Thames"/>
      <w:b/>
      <w:sz w:val="22"/>
    </w:rPr>
  </w:style>
  <w:style w:type="paragraph" w:styleId="637">
    <w:name w:val="Heading 1"/>
    <w:next w:val="617"/>
    <w:link w:val="638"/>
    <w:uiPriority w:val="9"/>
    <w:qFormat/>
    <w:pPr>
      <w:jc w:val="both"/>
      <w:spacing w:before="120" w:after="120"/>
      <w:widowControl/>
      <w:outlineLvl w:val="0"/>
    </w:pPr>
    <w:rPr>
      <w:rFonts w:ascii="XO Thames" w:hAnsi="XO Thames"/>
      <w:b/>
      <w:sz w:val="32"/>
    </w:rPr>
  </w:style>
  <w:style w:type="character" w:styleId="638">
    <w:name w:val="Heading 1"/>
    <w:link w:val="637"/>
    <w:rPr>
      <w:rFonts w:ascii="XO Thames" w:hAnsi="XO Thames"/>
      <w:b/>
      <w:sz w:val="32"/>
    </w:rPr>
  </w:style>
  <w:style w:type="paragraph" w:styleId="639">
    <w:name w:val="Hyperlink"/>
    <w:basedOn w:val="655"/>
    <w:link w:val="640"/>
    <w:rPr>
      <w:color w:val="0563c1"/>
      <w:u w:val="single"/>
    </w:rPr>
  </w:style>
  <w:style w:type="character" w:styleId="640">
    <w:name w:val="Hyperlink"/>
    <w:basedOn w:val="656"/>
    <w:link w:val="639"/>
    <w:rPr>
      <w:color w:val="0563c1"/>
      <w:u w:val="single"/>
    </w:rPr>
  </w:style>
  <w:style w:type="paragraph" w:styleId="641">
    <w:name w:val="Footnote"/>
    <w:link w:val="642"/>
    <w:pPr>
      <w:ind w:left="0" w:firstLine="851"/>
      <w:jc w:val="both"/>
      <w:widowControl/>
    </w:pPr>
    <w:rPr>
      <w:rFonts w:ascii="XO Thames" w:hAnsi="XO Thames"/>
      <w:sz w:val="22"/>
    </w:rPr>
  </w:style>
  <w:style w:type="character" w:styleId="642">
    <w:name w:val="Footnote"/>
    <w:link w:val="641"/>
    <w:rPr>
      <w:rFonts w:ascii="XO Thames" w:hAnsi="XO Thames"/>
      <w:sz w:val="22"/>
    </w:rPr>
  </w:style>
  <w:style w:type="paragraph" w:styleId="643">
    <w:name w:val="toc 1"/>
    <w:next w:val="617"/>
    <w:link w:val="644"/>
    <w:uiPriority w:val="39"/>
    <w:pPr>
      <w:ind w:left="0" w:firstLine="0"/>
      <w:jc w:val="left"/>
      <w:widowControl/>
    </w:pPr>
    <w:rPr>
      <w:rFonts w:ascii="XO Thames" w:hAnsi="XO Thames"/>
      <w:b/>
      <w:sz w:val="28"/>
    </w:rPr>
  </w:style>
  <w:style w:type="character" w:styleId="644">
    <w:name w:val="toc 1"/>
    <w:link w:val="643"/>
    <w:rPr>
      <w:rFonts w:ascii="XO Thames" w:hAnsi="XO Thames"/>
      <w:b/>
      <w:sz w:val="28"/>
    </w:rPr>
  </w:style>
  <w:style w:type="paragraph" w:styleId="645">
    <w:name w:val="Header and Footer"/>
    <w:link w:val="646"/>
    <w:pPr>
      <w:jc w:val="both"/>
      <w:spacing w:line="240" w:lineRule="auto"/>
      <w:widowControl/>
    </w:pPr>
    <w:rPr>
      <w:rFonts w:ascii="XO Thames" w:hAnsi="XO Thames"/>
      <w:sz w:val="28"/>
    </w:rPr>
  </w:style>
  <w:style w:type="character" w:styleId="646">
    <w:name w:val="Header and Footer"/>
    <w:link w:val="645"/>
    <w:rPr>
      <w:rFonts w:ascii="XO Thames" w:hAnsi="XO Thames"/>
      <w:sz w:val="28"/>
    </w:rPr>
  </w:style>
  <w:style w:type="paragraph" w:styleId="647">
    <w:name w:val="toc 9"/>
    <w:next w:val="617"/>
    <w:link w:val="648"/>
    <w:uiPriority w:val="39"/>
    <w:pPr>
      <w:ind w:left="1600" w:firstLine="0"/>
      <w:jc w:val="left"/>
      <w:widowControl/>
    </w:pPr>
    <w:rPr>
      <w:rFonts w:ascii="XO Thames" w:hAnsi="XO Thames"/>
      <w:sz w:val="28"/>
    </w:rPr>
  </w:style>
  <w:style w:type="character" w:styleId="648">
    <w:name w:val="toc 9"/>
    <w:link w:val="647"/>
    <w:rPr>
      <w:rFonts w:ascii="XO Thames" w:hAnsi="XO Thames"/>
      <w:sz w:val="28"/>
    </w:rPr>
  </w:style>
  <w:style w:type="paragraph" w:styleId="649">
    <w:name w:val="toc 8"/>
    <w:next w:val="617"/>
    <w:link w:val="650"/>
    <w:uiPriority w:val="39"/>
    <w:pPr>
      <w:ind w:left="1400" w:firstLine="0"/>
      <w:jc w:val="left"/>
      <w:widowControl/>
    </w:pPr>
    <w:rPr>
      <w:rFonts w:ascii="XO Thames" w:hAnsi="XO Thames"/>
      <w:sz w:val="28"/>
    </w:rPr>
  </w:style>
  <w:style w:type="character" w:styleId="650">
    <w:name w:val="toc 8"/>
    <w:link w:val="649"/>
    <w:rPr>
      <w:rFonts w:ascii="XO Thames" w:hAnsi="XO Thames"/>
      <w:sz w:val="28"/>
    </w:rPr>
  </w:style>
  <w:style w:type="paragraph" w:styleId="651">
    <w:name w:val="toc 5"/>
    <w:next w:val="617"/>
    <w:link w:val="652"/>
    <w:uiPriority w:val="39"/>
    <w:pPr>
      <w:ind w:left="800" w:firstLine="0"/>
      <w:jc w:val="left"/>
      <w:widowControl/>
    </w:pPr>
    <w:rPr>
      <w:rFonts w:ascii="XO Thames" w:hAnsi="XO Thames"/>
      <w:sz w:val="28"/>
    </w:rPr>
  </w:style>
  <w:style w:type="character" w:styleId="652">
    <w:name w:val="toc 5"/>
    <w:link w:val="651"/>
    <w:rPr>
      <w:rFonts w:ascii="XO Thames" w:hAnsi="XO Thames"/>
      <w:sz w:val="28"/>
    </w:rPr>
  </w:style>
  <w:style w:type="paragraph" w:styleId="653">
    <w:name w:val="Normal (Web)"/>
    <w:basedOn w:val="617"/>
    <w:next w:val="617"/>
    <w:link w:val="654"/>
    <w:pPr>
      <w:spacing w:beforeAutospacing="1" w:afterAutospacing="1" w:line="240" w:lineRule="auto"/>
      <w:widowControl/>
    </w:pPr>
    <w:rPr>
      <w:rFonts w:ascii="Times New Roman" w:hAnsi="Times New Roman"/>
      <w:sz w:val="24"/>
    </w:rPr>
  </w:style>
  <w:style w:type="character" w:styleId="654">
    <w:name w:val="Normal (Web)"/>
    <w:basedOn w:val="618"/>
    <w:link w:val="653"/>
    <w:rPr>
      <w:rFonts w:ascii="Times New Roman" w:hAnsi="Times New Roman"/>
      <w:sz w:val="24"/>
    </w:rPr>
  </w:style>
  <w:style w:type="paragraph" w:styleId="655">
    <w:name w:val="Default Paragraph Font"/>
    <w:link w:val="656"/>
  </w:style>
  <w:style w:type="character" w:styleId="656">
    <w:name w:val="Default Paragraph Font"/>
    <w:link w:val="655"/>
  </w:style>
  <w:style w:type="paragraph" w:styleId="657">
    <w:name w:val="Subtitle"/>
    <w:next w:val="617"/>
    <w:link w:val="658"/>
    <w:uiPriority w:val="11"/>
    <w:qFormat/>
    <w:pPr>
      <w:jc w:val="both"/>
      <w:widowControl/>
    </w:pPr>
    <w:rPr>
      <w:rFonts w:ascii="XO Thames" w:hAnsi="XO Thames"/>
      <w:i/>
      <w:sz w:val="24"/>
    </w:rPr>
  </w:style>
  <w:style w:type="character" w:styleId="658">
    <w:name w:val="Subtitle"/>
    <w:link w:val="657"/>
    <w:rPr>
      <w:rFonts w:ascii="XO Thames" w:hAnsi="XO Thames"/>
      <w:i/>
      <w:sz w:val="24"/>
    </w:rPr>
  </w:style>
  <w:style w:type="paragraph" w:styleId="659">
    <w:name w:val="Title"/>
    <w:next w:val="617"/>
    <w:link w:val="660"/>
    <w:uiPriority w:val="10"/>
    <w:qFormat/>
    <w:pPr>
      <w:jc w:val="center"/>
      <w:spacing w:before="567" w:after="567"/>
      <w:widowControl/>
    </w:pPr>
    <w:rPr>
      <w:rFonts w:ascii="XO Thames" w:hAnsi="XO Thames"/>
      <w:b/>
      <w:caps/>
      <w:sz w:val="40"/>
    </w:rPr>
  </w:style>
  <w:style w:type="character" w:styleId="660">
    <w:name w:val="Title"/>
    <w:link w:val="659"/>
    <w:rPr>
      <w:rFonts w:ascii="XO Thames" w:hAnsi="XO Thames"/>
      <w:b/>
      <w:caps/>
      <w:sz w:val="40"/>
    </w:rPr>
  </w:style>
  <w:style w:type="paragraph" w:styleId="661">
    <w:name w:val="Heading 4"/>
    <w:next w:val="617"/>
    <w:link w:val="662"/>
    <w:uiPriority w:val="9"/>
    <w:qFormat/>
    <w:pPr>
      <w:jc w:val="both"/>
      <w:spacing w:before="120" w:after="120"/>
      <w:widowControl/>
      <w:outlineLvl w:val="3"/>
    </w:pPr>
    <w:rPr>
      <w:rFonts w:ascii="XO Thames" w:hAnsi="XO Thames"/>
      <w:b/>
      <w:sz w:val="24"/>
    </w:rPr>
  </w:style>
  <w:style w:type="character" w:styleId="662">
    <w:name w:val="Heading 4"/>
    <w:link w:val="661"/>
    <w:rPr>
      <w:rFonts w:ascii="XO Thames" w:hAnsi="XO Thames"/>
      <w:b/>
      <w:sz w:val="24"/>
    </w:rPr>
  </w:style>
  <w:style w:type="paragraph" w:styleId="663">
    <w:name w:val="Line Number"/>
    <w:basedOn w:val="655"/>
    <w:link w:val="664"/>
  </w:style>
  <w:style w:type="character" w:styleId="664">
    <w:name w:val="Line Number"/>
    <w:basedOn w:val="656"/>
    <w:link w:val="663"/>
  </w:style>
  <w:style w:type="paragraph" w:styleId="665">
    <w:name w:val="Heading 2"/>
    <w:next w:val="617"/>
    <w:link w:val="666"/>
    <w:uiPriority w:val="9"/>
    <w:qFormat/>
    <w:pPr>
      <w:jc w:val="both"/>
      <w:spacing w:before="120" w:after="120"/>
      <w:widowControl/>
      <w:outlineLvl w:val="1"/>
    </w:pPr>
    <w:rPr>
      <w:rFonts w:ascii="XO Thames" w:hAnsi="XO Thames"/>
      <w:b/>
      <w:sz w:val="28"/>
    </w:rPr>
  </w:style>
  <w:style w:type="character" w:styleId="666">
    <w:name w:val="Heading 2"/>
    <w:link w:val="665"/>
    <w:rPr>
      <w:rFonts w:ascii="XO Thames" w:hAnsi="XO Thames"/>
      <w:b/>
      <w:sz w:val="28"/>
    </w:rPr>
  </w:style>
  <w:style w:type="table" w:styleId="667">
    <w:name w:val="Table Simple 1"/>
    <w:basedOn w:val="66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45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Шеина</cp:lastModifiedBy>
  <cp:revision>1</cp:revision>
  <dcterms:created xsi:type="dcterms:W3CDTF">2025-03-11T12:55:47Z</dcterms:created>
  <dcterms:modified xsi:type="dcterms:W3CDTF">2025-03-11T14:30:02Z</dcterms:modified>
</cp:coreProperties>
</file>