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pBdr>
          <w:bottom w:color="828282" w:space="0" w:sz="4" w:val="dotted"/>
        </w:pBdr>
        <w:spacing w:after="288" w:before="0" w:line="360" w:lineRule="auto"/>
        <w:ind w:left="0" w:right="0"/>
        <w:jc w:val="center"/>
        <w:rPr>
          <w:rFonts w:ascii="Arial" w:hAnsi="Arial"/>
          <w:strike w:val="0"/>
          <w:color w:val="000000"/>
          <w:sz w:val="22"/>
          <w:highlight w:val="white"/>
        </w:rPr>
      </w:pPr>
      <w:r>
        <w:rPr>
          <w:rFonts w:ascii="Arial" w:hAnsi="Arial"/>
          <w:strike w:val="0"/>
          <w:color w:val="000000"/>
          <w:sz w:val="22"/>
          <w:highlight w:val="white"/>
        </w:rPr>
        <w:t>Приказ</w:t>
      </w:r>
    </w:p>
    <w:p w14:paraId="02000000">
      <w:pPr>
        <w:widowControl w:val="1"/>
        <w:pBdr>
          <w:bottom w:color="828282" w:space="0" w:sz="4" w:val="dotted"/>
        </w:pBdr>
        <w:spacing w:after="288" w:before="0" w:line="360" w:lineRule="auto"/>
        <w:ind w:left="0" w:right="0"/>
        <w:jc w:val="center"/>
        <w:rPr>
          <w:rFonts w:ascii="Arial" w:hAnsi="Arial"/>
          <w:strike w:val="0"/>
          <w:color w:val="000000"/>
          <w:sz w:val="22"/>
          <w:highlight w:val="white"/>
        </w:rPr>
      </w:pPr>
      <w:r>
        <w:rPr>
          <w:rFonts w:ascii="Arial" w:hAnsi="Arial"/>
          <w:b w:val="1"/>
          <w:strike w:val="0"/>
          <w:color w:val="000000"/>
          <w:sz w:val="36"/>
          <w:highlight w:val="white"/>
        </w:rPr>
        <w:t>О принятии учетной политики для целей налогового учета</w:t>
      </w:r>
    </w:p>
    <w:p w14:paraId="03000000">
      <w:pPr>
        <w:widowControl w:val="1"/>
        <w:pBdr>
          <w:bottom w:color="828282" w:space="0" w:sz="4" w:val="dotted"/>
        </w:pBdr>
        <w:spacing w:after="288" w:before="0" w:line="360" w:lineRule="auto"/>
        <w:ind w:left="0" w:right="0"/>
        <w:jc w:val="center"/>
        <w:rPr>
          <w:rFonts w:ascii="Arial" w:hAnsi="Arial"/>
          <w:strike w:val="0"/>
          <w:color w:val="000000"/>
          <w:sz w:val="22"/>
          <w:highlight w:val="white"/>
        </w:rPr>
      </w:pPr>
      <w:r>
        <w:rPr>
          <w:rFonts w:ascii="Arial" w:hAnsi="Arial"/>
          <w:b w:val="0"/>
          <w:strike w:val="0"/>
          <w:color w:val="000000"/>
          <w:sz w:val="22"/>
          <w:highlight w:val="white"/>
        </w:rPr>
        <w:t>ООО</w:t>
      </w:r>
      <w:r>
        <w:rPr>
          <w:rFonts w:ascii="Arial" w:hAnsi="Arial"/>
          <w:b w:val="1"/>
          <w:strike w:val="0"/>
          <w:color w:val="000000"/>
          <w:sz w:val="22"/>
          <w:highlight w:val="white"/>
        </w:rPr>
        <w:t xml:space="preserve"> </w:t>
      </w:r>
      <w:r>
        <w:rPr>
          <w:rFonts w:ascii="Arial" w:hAnsi="Arial"/>
          <w:strike w:val="0"/>
          <w:color w:val="000000"/>
          <w:sz w:val="24"/>
          <w:highlight w:val="white"/>
        </w:rPr>
        <w:t>«</w:t>
      </w:r>
      <w:r>
        <w:rPr>
          <w:rFonts w:ascii="Arial" w:hAnsi="Arial"/>
          <w:strike w:val="0"/>
          <w:color w:val="000000"/>
          <w:sz w:val="24"/>
          <w:highlight w:val="white"/>
        </w:rPr>
        <w:t xml:space="preserve"> _____________ </w:t>
      </w:r>
      <w:r>
        <w:rPr>
          <w:rFonts w:ascii="Arial" w:hAnsi="Arial"/>
          <w:strike w:val="0"/>
          <w:color w:val="000000"/>
          <w:sz w:val="24"/>
          <w:highlight w:val="white"/>
        </w:rPr>
        <w:t>»</w:t>
      </w:r>
    </w:p>
    <w:p w14:paraId="04000000">
      <w:pPr>
        <w:widowControl w:val="1"/>
        <w:spacing w:after="288" w:line="360" w:lineRule="auto"/>
        <w:ind/>
        <w:rPr>
          <w:rFonts w:ascii="Arial" w:hAnsi="Arial"/>
          <w:b w:val="0"/>
          <w:strike w:val="0"/>
          <w:color w:val="000000"/>
          <w:sz w:val="22"/>
          <w:highlight w:val="white"/>
        </w:rPr>
      </w:pPr>
      <w:r>
        <w:rPr>
          <w:rFonts w:ascii="Arial" w:hAnsi="Arial"/>
          <w:b w:val="1"/>
          <w:strike w:val="0"/>
          <w:color w:val="000000"/>
          <w:sz w:val="22"/>
          <w:highlight w:val="white"/>
        </w:rPr>
        <w:t>Дата</w:t>
      </w:r>
      <w:r>
        <w:rPr>
          <w:rFonts w:ascii="Arial" w:hAnsi="Arial"/>
          <w:b w:val="1"/>
          <w:strike w:val="0"/>
          <w:color w:val="000000"/>
          <w:sz w:val="22"/>
          <w:highlight w:val="white"/>
        </w:rPr>
        <w:t xml:space="preserve"> </w:t>
      </w:r>
      <w:r>
        <w:rPr>
          <w:rFonts w:ascii="Arial" w:hAnsi="Arial"/>
          <w:b w:val="0"/>
          <w:strike w:val="0"/>
          <w:color w:val="000000"/>
          <w:sz w:val="22"/>
          <w:highlight w:val="white"/>
        </w:rPr>
        <w:t xml:space="preserve">1 января </w:t>
      </w:r>
      <w:r>
        <w:rPr>
          <w:rFonts w:ascii="Arial" w:hAnsi="Arial"/>
          <w:b w:val="0"/>
          <w:strike w:val="0"/>
          <w:color w:val="000000"/>
          <w:sz w:val="22"/>
          <w:highlight w:val="white"/>
        </w:rPr>
        <w:t>2024</w:t>
      </w:r>
      <w:r>
        <w:rPr>
          <w:rFonts w:ascii="Arial" w:hAnsi="Arial"/>
          <w:b w:val="0"/>
          <w:strike w:val="0"/>
          <w:color w:val="000000"/>
          <w:sz w:val="22"/>
          <w:highlight w:val="white"/>
        </w:rPr>
        <w:t xml:space="preserve">      </w:t>
      </w:r>
      <w:r>
        <w:rPr>
          <w:rFonts w:ascii="Arial" w:hAnsi="Arial"/>
          <w:b w:val="0"/>
          <w:strike w:val="0"/>
          <w:color w:val="000000"/>
          <w:sz w:val="22"/>
          <w:highlight w:val="white"/>
        </w:rPr>
        <w:t xml:space="preserve">  </w:t>
      </w:r>
      <w:r>
        <w:rPr>
          <w:rFonts w:ascii="Arial" w:hAnsi="Arial"/>
          <w:b w:val="0"/>
          <w:strike w:val="0"/>
          <w:color w:val="000000"/>
          <w:sz w:val="22"/>
          <w:highlight w:val="white"/>
        </w:rPr>
        <w:t xml:space="preserve">                                                  </w:t>
      </w:r>
      <w:r>
        <w:rPr>
          <w:rFonts w:ascii="Arial" w:hAnsi="Arial"/>
          <w:b w:val="0"/>
          <w:strike w:val="0"/>
          <w:color w:val="000000"/>
          <w:sz w:val="22"/>
          <w:highlight w:val="white"/>
        </w:rPr>
        <w:t xml:space="preserve">                                   </w:t>
      </w:r>
      <w:r>
        <w:rPr>
          <w:rFonts w:ascii="Arial" w:hAnsi="Arial"/>
          <w:b w:val="1"/>
          <w:strike w:val="0"/>
          <w:color w:val="000000"/>
          <w:sz w:val="22"/>
          <w:highlight w:val="white"/>
        </w:rPr>
        <w:t xml:space="preserve">Приказ </w:t>
      </w:r>
      <w:r>
        <w:rPr>
          <w:rFonts w:ascii="Arial" w:hAnsi="Arial"/>
          <w:b w:val="0"/>
          <w:strike w:val="0"/>
          <w:color w:val="000000"/>
          <w:sz w:val="22"/>
          <w:highlight w:val="white"/>
        </w:rPr>
        <w:t>№</w:t>
      </w:r>
      <w:r>
        <w:rPr>
          <w:rFonts w:ascii="Arial" w:hAnsi="Arial"/>
          <w:b w:val="0"/>
          <w:strike w:val="0"/>
          <w:color w:val="000000"/>
          <w:sz w:val="22"/>
          <w:highlight w:val="white"/>
        </w:rPr>
        <w:t>1</w:t>
      </w:r>
    </w:p>
    <w:p w14:paraId="05000000">
      <w:pPr>
        <w:widowControl w:val="1"/>
        <w:spacing w:after="288" w:line="360" w:lineRule="auto"/>
        <w:ind/>
        <w:rPr>
          <w:rFonts w:ascii="Arial" w:hAnsi="Arial"/>
          <w:b w:val="1"/>
          <w:strike w:val="0"/>
          <w:color w:val="000000"/>
          <w:sz w:val="28"/>
          <w:highlight w:val="white"/>
        </w:rPr>
      </w:pPr>
      <w:r>
        <w:rPr>
          <w:rFonts w:ascii="Arial" w:hAnsi="Arial"/>
          <w:b w:val="1"/>
          <w:strike w:val="0"/>
          <w:color w:val="000000"/>
          <w:sz w:val="28"/>
          <w:highlight w:val="white"/>
        </w:rPr>
        <w:t>Приказываю:</w:t>
      </w:r>
    </w:p>
    <w:p w14:paraId="06000000">
      <w:pPr>
        <w:widowControl w:val="1"/>
        <w:spacing w:after="288" w:line="360" w:lineRule="auto"/>
        <w:ind/>
        <w:rPr>
          <w:rFonts w:ascii="Arial" w:hAnsi="Arial"/>
          <w:strike w:val="0"/>
          <w:color w:val="000000"/>
          <w:sz w:val="22"/>
          <w:highlight w:val="white"/>
        </w:rPr>
      </w:pPr>
      <w:r>
        <w:rPr>
          <w:rFonts w:ascii="Arial" w:hAnsi="Arial"/>
          <w:strike w:val="0"/>
          <w:color w:val="000000"/>
          <w:sz w:val="22"/>
          <w:highlight w:val="white"/>
        </w:rPr>
        <w:t>В соответствии с п. 2 ст. 11 Налогового кодекса Российской Федерации утвердить учетную политику организации для целей налогообложения на 2024 год.</w:t>
      </w:r>
    </w:p>
    <w:p w14:paraId="07000000">
      <w:pPr>
        <w:widowControl w:val="1"/>
        <w:spacing w:after="288" w:line="360" w:lineRule="auto"/>
        <w:ind/>
        <w:rPr>
          <w:rFonts w:ascii="Arial" w:hAnsi="Arial"/>
          <w:strike w:val="0"/>
          <w:color w:val="000000"/>
          <w:sz w:val="22"/>
          <w:highlight w:val="white"/>
        </w:rPr>
      </w:pPr>
      <w:r>
        <w:rPr>
          <w:rFonts w:ascii="Arial" w:hAnsi="Arial"/>
          <w:b w:val="1"/>
          <w:strike w:val="0"/>
          <w:color w:val="000000"/>
          <w:sz w:val="22"/>
          <w:highlight w:val="white"/>
        </w:rPr>
        <w:t xml:space="preserve">1. </w:t>
      </w:r>
      <w:r>
        <w:rPr>
          <w:rFonts w:ascii="Arial" w:hAnsi="Arial"/>
          <w:b w:val="0"/>
          <w:strike w:val="0"/>
          <w:color w:val="000000"/>
          <w:sz w:val="22"/>
          <w:highlight w:val="white"/>
        </w:rPr>
        <w:t>Организация применяет</w:t>
      </w:r>
      <w:r>
        <w:rPr>
          <w:rFonts w:ascii="Arial" w:hAnsi="Arial"/>
          <w:b w:val="0"/>
          <w:strike w:val="0"/>
          <w:color w:val="000000"/>
          <w:sz w:val="22"/>
          <w:highlight w:val="white"/>
        </w:rPr>
        <w:t>:</w:t>
      </w:r>
    </w:p>
    <w:p w14:paraId="08000000">
      <w:pPr>
        <w:widowControl w:val="1"/>
        <w:spacing w:after="288" w:line="360" w:lineRule="auto"/>
        <w:ind/>
        <w:rPr>
          <w:rFonts w:ascii="Arial" w:hAnsi="Arial"/>
          <w:strike w:val="0"/>
          <w:color w:val="000000"/>
          <w:sz w:val="22"/>
          <w:highlight w:val="white"/>
        </w:rPr>
      </w:pPr>
      <w:r>
        <w:rPr>
          <w:rFonts w:ascii="Arial" w:hAnsi="Arial"/>
          <w:i w:val="1"/>
          <w:strike w:val="0"/>
          <w:color w:val="000000"/>
          <w:sz w:val="22"/>
          <w:highlight w:val="white"/>
        </w:rPr>
        <w:t>общую система налогообложения (ОСНО).</w:t>
      </w:r>
    </w:p>
    <w:p w14:paraId="09000000">
      <w:pPr>
        <w:widowControl w:val="1"/>
        <w:spacing w:after="288" w:line="360" w:lineRule="auto"/>
        <w:ind/>
        <w:rPr>
          <w:rFonts w:ascii="Arial" w:hAnsi="Arial"/>
          <w:strike w:val="0"/>
          <w:color w:val="000000"/>
          <w:sz w:val="22"/>
          <w:highlight w:val="white"/>
        </w:rPr>
      </w:pPr>
      <w:r>
        <w:rPr>
          <w:rFonts w:ascii="Arial" w:hAnsi="Arial"/>
          <w:i w:val="1"/>
          <w:strike w:val="0"/>
          <w:color w:val="000000"/>
          <w:sz w:val="22"/>
          <w:highlight w:val="white"/>
        </w:rPr>
        <w:t>упрощенную система налогообложения (УСН).</w:t>
      </w:r>
    </w:p>
    <w:p w14:paraId="0A000000">
      <w:pPr>
        <w:widowControl w:val="1"/>
        <w:spacing w:after="288" w:line="360" w:lineRule="auto"/>
        <w:ind/>
        <w:jc w:val="center"/>
        <w:rPr>
          <w:rFonts w:ascii="Arial" w:hAnsi="Arial"/>
          <w:b w:val="1"/>
          <w:strike w:val="0"/>
          <w:color w:val="000000"/>
          <w:sz w:val="28"/>
          <w:highlight w:val="white"/>
        </w:rPr>
      </w:pPr>
      <w:r>
        <w:rPr>
          <w:rFonts w:ascii="Georgia" w:hAnsi="Georgia"/>
          <w:b w:val="1"/>
          <w:strike w:val="0"/>
          <w:color w:val="000000"/>
          <w:sz w:val="28"/>
          <w:highlight w:val="white"/>
        </w:rPr>
        <w:t>Налог на добавленную стоимость</w:t>
      </w:r>
    </w:p>
    <w:p w14:paraId="0B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 xml:space="preserve">1. </w:t>
      </w:r>
      <w:r>
        <w:rPr>
          <w:rFonts w:ascii="Arial" w:hAnsi="Arial"/>
          <w:strike w:val="0"/>
          <w:color w:val="000000"/>
          <w:sz w:val="22"/>
          <w:highlight w:val="white"/>
        </w:rPr>
        <w:t xml:space="preserve">В случае получения оплаты, частичной оплаты в счет предстоящих поставок товаров (работ, услуг), длительность производственного цикла изготовления которых составляет свыше шести месяцев (по перечню, определяемому Правительством Российской Федерации), момент определения налоговой базы установить как </w:t>
      </w:r>
    </w:p>
    <w:p w14:paraId="0C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момент отгрузки (передачи) указанных товаров (работ, услуг).</w:t>
      </w:r>
    </w:p>
    <w:p w14:paraId="0D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наиболее ранняя из следующих дат:</w:t>
      </w:r>
    </w:p>
    <w:p w14:paraId="0E000000">
      <w:pPr>
        <w:widowControl w:val="1"/>
        <w:numPr>
          <w:numId w:val="1"/>
        </w:numPr>
        <w:tabs>
          <w:tab w:leader="none" w:pos="843" w:val="left"/>
          <w:tab w:leader="none" w:pos="1080" w:val="left"/>
        </w:tabs>
        <w:ind/>
        <w:jc w:val="both"/>
        <w:rPr>
          <w:rFonts w:ascii="Arial" w:hAnsi="Arial"/>
          <w:i w:val="1"/>
          <w:sz w:val="22"/>
        </w:rPr>
      </w:pPr>
      <w:r>
        <w:rPr>
          <w:rFonts w:ascii="Arial" w:hAnsi="Arial"/>
          <w:i w:val="1"/>
          <w:sz w:val="22"/>
        </w:rPr>
        <w:t>день отгрузки (передачи) товаров (работ, услуг),</w:t>
      </w:r>
    </w:p>
    <w:p w14:paraId="0F000000">
      <w:pPr>
        <w:widowControl w:val="1"/>
        <w:numPr>
          <w:numId w:val="1"/>
        </w:numPr>
        <w:tabs>
          <w:tab w:leader="none" w:pos="843" w:val="left"/>
          <w:tab w:leader="none" w:pos="1080" w:val="left"/>
        </w:tabs>
        <w:ind/>
        <w:jc w:val="both"/>
        <w:rPr>
          <w:rFonts w:ascii="Arial" w:hAnsi="Arial"/>
          <w:i w:val="1"/>
          <w:sz w:val="22"/>
        </w:rPr>
      </w:pPr>
      <w:r>
        <w:rPr>
          <w:rFonts w:ascii="Arial" w:hAnsi="Arial"/>
          <w:i w:val="1"/>
          <w:sz w:val="22"/>
        </w:rPr>
        <w:t>день оплаты, частичной оплаты в счет предстоящих поставок товаров (р</w:t>
      </w:r>
      <w:r>
        <w:rPr>
          <w:rFonts w:ascii="Arial" w:hAnsi="Arial"/>
          <w:i w:val="1"/>
          <w:sz w:val="22"/>
        </w:rPr>
        <w:t>а</w:t>
      </w:r>
      <w:r>
        <w:rPr>
          <w:rFonts w:ascii="Arial" w:hAnsi="Arial"/>
          <w:i w:val="1"/>
          <w:sz w:val="22"/>
        </w:rPr>
        <w:t>бот, услуг).</w:t>
      </w:r>
    </w:p>
    <w:p w14:paraId="10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В случае, если в течение календарного года будут осуществляться операции, подлежащие налогообложению, и операции, не подлежащие налогообложению (освобождаемые от налогообложения), ведение раздельного учета обеспечивается путем применения соответствующих субсчетов Рабочего плана счетов предприятия, а также регистров аналитического и синтетического учета в разрезе облагаемых и необлагаемых операций.</w:t>
      </w:r>
    </w:p>
    <w:p w14:paraId="11000000">
      <w:pPr>
        <w:widowControl w:val="1"/>
        <w:tabs>
          <w:tab w:leader="none" w:pos="843" w:val="left"/>
          <w:tab w:leader="none" w:pos="1080" w:val="left"/>
        </w:tabs>
        <w:spacing w:line="360" w:lineRule="auto"/>
        <w:ind/>
        <w:jc w:val="left"/>
        <w:rPr>
          <w:rFonts w:ascii="Arial" w:hAnsi="Arial"/>
          <w:i w:val="1"/>
          <w:sz w:val="22"/>
        </w:rPr>
      </w:pPr>
      <w:r>
        <w:rPr>
          <w:rFonts w:ascii="Arial" w:hAnsi="Arial"/>
          <w:strike w:val="0"/>
          <w:color w:val="000000"/>
          <w:sz w:val="22"/>
          <w:highlight w:val="white"/>
        </w:rPr>
        <w:t>В аналогичном порядке ведется учет операций, облагаемых в соответствии с пунктом 1 статьи 164 НК РФ по ставке «0» процентов (кроме операций по реализации товаров, указанных в подпункте 1 (за исключением сырьевых товаров) и подпункте 6 пункта 1 статьи 164 НК), а также операций, связанных с поставкой товаров (работ, услуг) длительность производственного цикла изготовления которых составляет свыше шести месяцев (в случае выбора момента определения налоговой базы по варианту № 1 п. 1 настоящего раздела Приказа).</w:t>
      </w:r>
    </w:p>
    <w:p w14:paraId="12000000">
      <w:pPr>
        <w:widowControl w:val="1"/>
        <w:tabs>
          <w:tab w:leader="none" w:pos="843" w:val="left"/>
          <w:tab w:leader="none" w:pos="1080" w:val="left"/>
        </w:tabs>
        <w:spacing w:line="360" w:lineRule="auto"/>
        <w:ind/>
        <w:jc w:val="left"/>
        <w:rPr>
          <w:rFonts w:ascii="Arial" w:hAnsi="Arial"/>
          <w:i w:val="1"/>
          <w:sz w:val="22"/>
        </w:rPr>
      </w:pPr>
      <w:r>
        <w:rPr>
          <w:rFonts w:ascii="Arial" w:hAnsi="Arial"/>
          <w:strike w:val="0"/>
          <w:color w:val="000000"/>
          <w:sz w:val="22"/>
          <w:highlight w:val="white"/>
        </w:rPr>
        <w:t>Раздельный учет обеспечивается как по самим хозяйственным операциям, включая учет себестоимости (стоимости приобретения), в том числе основных средств, нематериальных активов и имущественных прав, так и по суммам НДС по приобретенным товарам (работам, услугам), в том числе основным средствам, нематериальным активам и имущественным правам, используемым для осуществления как облагаемых, так и необлагаемых (либо облагаемых в специальном порядке) операций.</w:t>
      </w:r>
    </w:p>
    <w:p w14:paraId="13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3. </w:t>
      </w:r>
      <w:r>
        <w:rPr>
          <w:rFonts w:ascii="Arial" w:hAnsi="Arial"/>
          <w:strike w:val="0"/>
          <w:color w:val="000000"/>
          <w:sz w:val="22"/>
          <w:highlight w:val="white"/>
        </w:rPr>
        <w:t xml:space="preserve">В тех налоговых периодах,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производство </w:t>
      </w:r>
    </w:p>
    <w:p w14:paraId="14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все суммы налога, предъявленные продавцами используемых в производстве товаров (работ, услуг), имущественных прав в указанном налоговом периоде, подлежат вычету в соответствии с порядком, предусмотренным статьей 172 НК</w:t>
      </w:r>
      <w:r>
        <w:rPr>
          <w:rFonts w:ascii="Arial" w:hAnsi="Arial"/>
          <w:i w:val="1"/>
          <w:strike w:val="0"/>
          <w:color w:val="000000"/>
          <w:sz w:val="22"/>
          <w:highlight w:val="white"/>
        </w:rPr>
        <w:t>.</w:t>
      </w:r>
    </w:p>
    <w:p w14:paraId="15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принимаются к вычету в обычном порядке, предусмотренном статьями 171 -172 НК.</w:t>
      </w:r>
    </w:p>
    <w:p w14:paraId="16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4. </w:t>
      </w:r>
      <w:r>
        <w:rPr>
          <w:rFonts w:ascii="Arial" w:hAnsi="Arial"/>
          <w:strike w:val="0"/>
          <w:color w:val="000000"/>
          <w:sz w:val="22"/>
          <w:highlight w:val="white"/>
        </w:rPr>
        <w:t xml:space="preserve">При определении доли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затраты на приобретение товаров (работ, услуг), имущественных прав, использованных одновременно для осуществления как облагаемых, так и необлагаемых операций, отнесенные на расходы отчетного периода и приходящиеся на не облагаемые операции, определяются пропорционально </w:t>
      </w:r>
    </w:p>
    <w:p w14:paraId="17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доле выручки от не облагаемых НДС операций в общей сумме выручки от реализации.</w:t>
      </w:r>
    </w:p>
    <w:p w14:paraId="18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доле прямых расходов по не облагаемым НДС операциям в общей величине прямых расходов по всем операциям, связанным с реализацией.</w:t>
      </w:r>
    </w:p>
    <w:p w14:paraId="19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иным способом (указать способ).</w:t>
      </w:r>
    </w:p>
    <w:p w14:paraId="1A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5. </w:t>
      </w:r>
      <w:r>
        <w:rPr>
          <w:rFonts w:ascii="Arial" w:hAnsi="Arial"/>
          <w:strike w:val="0"/>
          <w:color w:val="000000"/>
          <w:sz w:val="22"/>
          <w:highlight w:val="white"/>
        </w:rPr>
        <w:t>Налог на добавленную стоимость по товарам (работам, услугам), имущественным правам, используемым одновременно для осуществления как облагаемых, так и необлагаемых (либо облагаемых в специальном порядке) операций, принимается к вычету либо учитывается в их стоимости в той пропорции, в которой они используются для осуществления соответствующих операций.</w:t>
      </w:r>
    </w:p>
    <w:p w14:paraId="1B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Указанная пропорция определяется исходя из стоимости (без учета НДС) отгруженных товаров (работ, услуг), имущественных прав, операции по реализации которых подлежат налогообложению, освобождены от налогообложения либо облагаются в специальном порядке, в общей стоимости (без учета НДС) товаров (работ, услуг), имущественных прав, отгруженных за налоговый период.</w:t>
      </w:r>
      <w:r>
        <w:rPr>
          <w:rFonts w:ascii="Arial" w:hAnsi="Arial"/>
          <w:strike w:val="0"/>
          <w:color w:val="000000"/>
          <w:sz w:val="22"/>
          <w:highlight w:val="white"/>
        </w:rPr>
        <w:t xml:space="preserve"> </w:t>
      </w:r>
    </w:p>
    <w:p w14:paraId="1C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(привести перечень подобных расходов)</w:t>
      </w:r>
    </w:p>
    <w:p w14:paraId="1D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6. </w:t>
      </w:r>
      <w:r>
        <w:rPr>
          <w:rFonts w:ascii="Arial" w:hAnsi="Arial"/>
          <w:strike w:val="0"/>
          <w:color w:val="000000"/>
          <w:sz w:val="22"/>
          <w:highlight w:val="white"/>
        </w:rPr>
        <w:t xml:space="preserve">Если в течение налогового периода отгрузка товаров (выполнение работ, оказание услуг) не осуществляется или осуществляется отгрузка (выполнение, оказание) только облагаемых либо только освобождаемых от налогообложения (или облагаемых в специальном порядке) товаров (работ, услуг), то указанная пропорция определяется: </w:t>
      </w:r>
    </w:p>
    <w:p w14:paraId="1E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за предшествующий налоговый период.</w:t>
      </w:r>
    </w:p>
    <w:p w14:paraId="1F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в ином порядке (указать).</w:t>
      </w:r>
    </w:p>
    <w:p w14:paraId="20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7. </w:t>
      </w:r>
      <w:r>
        <w:rPr>
          <w:rFonts w:ascii="Arial" w:hAnsi="Arial"/>
          <w:strike w:val="0"/>
          <w:color w:val="000000"/>
          <w:sz w:val="22"/>
          <w:highlight w:val="white"/>
        </w:rPr>
        <w:t>По основным средствам и нематериальным активам, используемым одновременно для осуществления как облагаемых, так и необлагаемых (либо облагаемых в специальном порядке) операций, и принимаемым к учету в первом или втором месяцах квартала, вышеуказанную пропорцию определять исходя из стоимости (без учета НДС) отгруженных товаров (работ, услуг), имущественных прав</w:t>
      </w:r>
    </w:p>
    <w:p w14:paraId="21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за соответствующий месяц.</w:t>
      </w:r>
    </w:p>
    <w:p w14:paraId="22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в обычном порядке.</w:t>
      </w:r>
    </w:p>
    <w:p w14:paraId="23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8. </w:t>
      </w:r>
      <w:r>
        <w:rPr>
          <w:rFonts w:ascii="Arial" w:hAnsi="Arial"/>
          <w:strike w:val="0"/>
          <w:color w:val="000000"/>
          <w:sz w:val="22"/>
          <w:highlight w:val="white"/>
        </w:rPr>
        <w:t>В случае возложения на организацию обязанностей по ведению общего учета в целях налогообложения операций, совершаемых в рамках осуществления совместной деятельности по договору простого товарищества, или выполнения ею функций доверительного управляющего в рамках договора доверительного управления, ведение раздельного учета обеспечивается путем составления на основании соответствующих первичных бухгалтерских документов регистров бухгалтерского учета и отражения данных операций на отдельном балансе</w:t>
      </w:r>
    </w:p>
    <w:p w14:paraId="24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в электронном виде с использованием компьютерной программы.</w:t>
      </w:r>
    </w:p>
    <w:p w14:paraId="25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на бумажных носителях.</w:t>
      </w:r>
    </w:p>
    <w:p w14:paraId="26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9.</w:t>
      </w:r>
      <w:r>
        <w:rPr>
          <w:rFonts w:ascii="Arial" w:hAnsi="Arial"/>
          <w:strike w:val="0"/>
          <w:color w:val="000000"/>
          <w:sz w:val="22"/>
          <w:highlight w:val="white"/>
        </w:rPr>
        <w:t xml:space="preserve"> </w:t>
      </w:r>
      <w:r>
        <w:rPr>
          <w:rFonts w:ascii="Arial" w:hAnsi="Arial"/>
          <w:strike w:val="0"/>
          <w:color w:val="000000"/>
          <w:sz w:val="22"/>
          <w:highlight w:val="white"/>
        </w:rPr>
        <w:t>При составлении счетов-фактур обособленными подразделениями порядковый номер документа через разделительную черту "/" дополняется цифровым индексом данного обособленного подразделения. Соответствующие индексы утверждаются в приложении №</w:t>
      </w:r>
      <w:r>
        <w:rPr>
          <w:rFonts w:ascii="Arial" w:hAnsi="Arial"/>
          <w:strike w:val="0"/>
          <w:color w:val="000000"/>
          <w:sz w:val="22"/>
          <w:highlight w:val="white"/>
        </w:rPr>
        <w:t xml:space="preserve"> ________ </w:t>
      </w:r>
      <w:r>
        <w:rPr>
          <w:rFonts w:ascii="Arial" w:hAnsi="Arial"/>
          <w:strike w:val="0"/>
          <w:color w:val="000000"/>
          <w:sz w:val="22"/>
          <w:highlight w:val="white"/>
        </w:rPr>
        <w:t>к учетной политике.</w:t>
      </w:r>
    </w:p>
    <w:p w14:paraId="27000000">
      <w:pPr>
        <w:widowControl w:val="1"/>
        <w:tabs>
          <w:tab w:leader="none" w:pos="843" w:val="left"/>
          <w:tab w:leader="none" w:pos="1080" w:val="left"/>
        </w:tabs>
        <w:spacing w:line="360" w:lineRule="auto"/>
        <w:ind/>
        <w:jc w:val="left"/>
        <w:rPr>
          <w:rFonts w:ascii="Arial" w:hAnsi="Arial"/>
          <w:i w:val="1"/>
          <w:sz w:val="22"/>
        </w:rPr>
      </w:pPr>
      <w:r>
        <w:rPr>
          <w:rFonts w:ascii="Arial" w:hAnsi="Arial"/>
          <w:b w:val="1"/>
          <w:strike w:val="0"/>
          <w:color w:val="000000"/>
          <w:sz w:val="22"/>
          <w:highlight w:val="white"/>
        </w:rPr>
        <w:t xml:space="preserve">10. </w:t>
      </w:r>
      <w:r>
        <w:rPr>
          <w:rFonts w:ascii="Arial" w:hAnsi="Arial"/>
          <w:strike w:val="0"/>
          <w:color w:val="000000"/>
          <w:sz w:val="22"/>
          <w:highlight w:val="white"/>
        </w:rPr>
        <w:t>Утвердить следующий порядок нумерации, составления и оформления счетов-фактур, а также ведения журнала учета полученных и выставленных счетов-фактур, книги покупок и книги продаж, а также дополнительных листов к ним при реализации товаров (выполнении работ, оказании услуг), в том числе через обособленные подразделения.</w:t>
      </w:r>
    </w:p>
    <w:p w14:paraId="28000000">
      <w:pPr>
        <w:widowControl w:val="1"/>
        <w:tabs>
          <w:tab w:leader="none" w:pos="843" w:val="left"/>
          <w:tab w:leader="none" w:pos="1080" w:val="left"/>
        </w:tabs>
        <w:spacing w:line="360" w:lineRule="auto"/>
        <w:ind/>
        <w:jc w:val="left"/>
        <w:rPr>
          <w:rFonts w:ascii="Arial" w:hAnsi="Arial"/>
          <w:i w:val="1"/>
          <w:sz w:val="22"/>
        </w:rPr>
      </w:pPr>
      <w:r>
        <w:rPr>
          <w:rFonts w:ascii="Arial" w:hAnsi="Arial"/>
          <w:i w:val="1"/>
          <w:strike w:val="0"/>
          <w:color w:val="000000"/>
          <w:sz w:val="22"/>
          <w:highlight w:val="white"/>
        </w:rPr>
        <w:t>Нумерация счетов-фактур осуществляется</w:t>
      </w:r>
    </w:p>
    <w:p w14:paraId="29000000">
      <w:pPr>
        <w:rPr>
          <w:rFonts w:ascii="Arial" w:hAnsi="Arial"/>
          <w:b w:val="0"/>
          <w:i w:val="1"/>
        </w:rPr>
      </w:pPr>
      <w:r>
        <w:rPr>
          <w:rFonts w:ascii="Arial" w:hAnsi="Arial"/>
          <w:b w:val="0"/>
          <w:i w:val="1"/>
        </w:rPr>
        <w:t>в порядке возрастания номеров в целом по организации.</w:t>
      </w:r>
    </w:p>
    <w:p w14:paraId="2A000000">
      <w:pPr>
        <w:rPr>
          <w:rFonts w:ascii="Arial" w:hAnsi="Arial"/>
          <w:b w:val="0"/>
          <w:i w:val="1"/>
        </w:rPr>
      </w:pPr>
      <w:r>
        <w:rPr>
          <w:rFonts w:ascii="Arial" w:hAnsi="Arial"/>
          <w:b w:val="0"/>
          <w:i w:val="1"/>
        </w:rPr>
        <w:t>в порядке возрастания номеров в разрезе каждого обособленного подразделения.</w:t>
      </w:r>
    </w:p>
    <w:p w14:paraId="2B000000">
      <w:pPr>
        <w:rPr>
          <w:rFonts w:ascii="Arial" w:hAnsi="Arial"/>
          <w:b w:val="0"/>
          <w:i w:val="1"/>
        </w:rPr>
      </w:pPr>
      <w:r>
        <w:rPr>
          <w:rFonts w:ascii="Arial" w:hAnsi="Arial"/>
          <w:b w:val="0"/>
          <w:i w:val="1"/>
        </w:rPr>
        <w:t>резервированием номеров для каждого обособленного подразделения по мере их выборки.</w:t>
      </w:r>
    </w:p>
    <w:p w14:paraId="2C000000">
      <w:pPr>
        <w:rPr>
          <w:rFonts w:ascii="Arial" w:hAnsi="Arial"/>
          <w:b w:val="0"/>
          <w:i w:val="1"/>
        </w:rPr>
      </w:pPr>
      <w:r>
        <w:rPr>
          <w:rFonts w:ascii="Arial" w:hAnsi="Arial"/>
          <w:b w:val="0"/>
          <w:i w:val="1"/>
        </w:rPr>
        <w:t>иным способом (указать способ).</w:t>
      </w:r>
    </w:p>
    <w:p w14:paraId="2D000000">
      <w:pPr>
        <w:rPr>
          <w:rFonts w:ascii="Arial" w:hAnsi="Arial"/>
          <w:b w:val="0"/>
          <w:i w:val="1"/>
        </w:rPr>
      </w:pPr>
      <w:r>
        <w:rPr>
          <w:rFonts w:ascii="Arial" w:hAnsi="Arial"/>
          <w:i w:val="1"/>
          <w:strike w:val="0"/>
          <w:color w:val="000000"/>
          <w:sz w:val="22"/>
          <w:highlight w:val="white"/>
        </w:rPr>
        <w:t>Составление и оформление счетов-фактур осуществляется:</w:t>
      </w:r>
    </w:p>
    <w:p w14:paraId="2E000000">
      <w:pPr>
        <w:rPr>
          <w:rFonts w:ascii="Arial" w:hAnsi="Arial"/>
          <w:b w:val="0"/>
          <w:i w:val="1"/>
          <w:sz w:val="22"/>
        </w:rPr>
      </w:pPr>
      <w:r>
        <w:rPr>
          <w:rFonts w:ascii="Arial" w:hAnsi="Arial"/>
          <w:i w:val="1"/>
          <w:sz w:val="24"/>
        </w:rPr>
        <w:t>в</w:t>
      </w:r>
      <w:r>
        <w:rPr>
          <w:rFonts w:ascii="Arial" w:hAnsi="Arial"/>
          <w:i w:val="1"/>
          <w:sz w:val="22"/>
        </w:rPr>
        <w:t xml:space="preserve"> отношении всех случаев реализации, включая реализацию через </w:t>
      </w:r>
      <w:r>
        <w:rPr>
          <w:rFonts w:ascii="Arial" w:hAnsi="Arial"/>
          <w:i w:val="1"/>
          <w:sz w:val="22"/>
        </w:rPr>
        <w:t>обособленные</w:t>
      </w:r>
      <w:r>
        <w:rPr>
          <w:rFonts w:ascii="Arial" w:hAnsi="Arial"/>
          <w:i w:val="1"/>
          <w:sz w:val="22"/>
        </w:rPr>
        <w:t xml:space="preserve"> подразделения, в головной организации</w:t>
      </w:r>
      <w:r>
        <w:rPr>
          <w:rFonts w:ascii="Arial" w:hAnsi="Arial"/>
          <w:b w:val="0"/>
          <w:i w:val="1"/>
          <w:sz w:val="22"/>
        </w:rPr>
        <w:t>.</w:t>
      </w:r>
    </w:p>
    <w:p w14:paraId="2F000000">
      <w:pPr>
        <w:rPr>
          <w:rFonts w:ascii="Arial" w:hAnsi="Arial"/>
          <w:b w:val="0"/>
          <w:i w:val="1"/>
          <w:sz w:val="22"/>
        </w:rPr>
      </w:pPr>
      <w:r>
        <w:rPr>
          <w:rFonts w:ascii="Arial" w:hAnsi="Arial"/>
          <w:i w:val="1"/>
          <w:sz w:val="22"/>
        </w:rPr>
        <w:t>в отношении реализации товаров через головную организ</w:t>
      </w:r>
      <w:r>
        <w:rPr>
          <w:rFonts w:ascii="Arial" w:hAnsi="Arial"/>
          <w:i w:val="1"/>
          <w:sz w:val="22"/>
        </w:rPr>
        <w:t>ацию - в головной о</w:t>
      </w:r>
      <w:r>
        <w:rPr>
          <w:rFonts w:ascii="Arial" w:hAnsi="Arial"/>
          <w:i w:val="1"/>
          <w:sz w:val="22"/>
        </w:rPr>
        <w:t>р</w:t>
      </w:r>
      <w:r>
        <w:rPr>
          <w:rFonts w:ascii="Arial" w:hAnsi="Arial"/>
          <w:i w:val="1"/>
          <w:sz w:val="22"/>
        </w:rPr>
        <w:t>ганизации</w:t>
      </w:r>
      <w:r>
        <w:rPr>
          <w:rFonts w:ascii="Arial" w:hAnsi="Arial"/>
          <w:b w:val="0"/>
          <w:i w:val="1"/>
          <w:sz w:val="22"/>
        </w:rPr>
        <w:t xml:space="preserve">, </w:t>
      </w:r>
      <w:r>
        <w:rPr>
          <w:rFonts w:ascii="Arial" w:hAnsi="Arial"/>
          <w:i w:val="1"/>
          <w:sz w:val="22"/>
        </w:rPr>
        <w:t xml:space="preserve">в отношении реализации товаров через </w:t>
      </w:r>
      <w:r>
        <w:rPr>
          <w:rFonts w:ascii="Arial" w:hAnsi="Arial"/>
          <w:i w:val="1"/>
          <w:sz w:val="22"/>
        </w:rPr>
        <w:t xml:space="preserve">обособленные </w:t>
      </w:r>
      <w:r>
        <w:rPr>
          <w:rFonts w:ascii="Arial" w:hAnsi="Arial"/>
          <w:i w:val="1"/>
          <w:sz w:val="22"/>
        </w:rPr>
        <w:t>подраздел</w:t>
      </w:r>
      <w:r>
        <w:rPr>
          <w:rFonts w:ascii="Arial" w:hAnsi="Arial"/>
          <w:i w:val="1"/>
          <w:sz w:val="22"/>
        </w:rPr>
        <w:t>е</w:t>
      </w:r>
      <w:r>
        <w:rPr>
          <w:rFonts w:ascii="Arial" w:hAnsi="Arial"/>
          <w:i w:val="1"/>
          <w:sz w:val="22"/>
        </w:rPr>
        <w:t xml:space="preserve">ния в </w:t>
      </w:r>
      <w:r>
        <w:rPr>
          <w:rFonts w:ascii="Arial" w:hAnsi="Arial"/>
          <w:i w:val="1"/>
          <w:sz w:val="22"/>
        </w:rPr>
        <w:t>обособленном</w:t>
      </w:r>
      <w:r>
        <w:rPr>
          <w:rFonts w:ascii="Arial" w:hAnsi="Arial"/>
          <w:i w:val="1"/>
          <w:sz w:val="22"/>
        </w:rPr>
        <w:t xml:space="preserve"> подразделении с последующей передачей в головную орг</w:t>
      </w:r>
      <w:r>
        <w:rPr>
          <w:rFonts w:ascii="Arial" w:hAnsi="Arial"/>
          <w:i w:val="1"/>
          <w:sz w:val="22"/>
        </w:rPr>
        <w:t>а</w:t>
      </w:r>
      <w:r>
        <w:rPr>
          <w:rFonts w:ascii="Arial" w:hAnsi="Arial"/>
          <w:i w:val="1"/>
          <w:sz w:val="22"/>
        </w:rPr>
        <w:t>низацию.</w:t>
      </w:r>
    </w:p>
    <w:p w14:paraId="30000000">
      <w:pPr>
        <w:widowControl w:val="1"/>
        <w:tabs>
          <w:tab w:leader="none" w:pos="1080" w:val="left"/>
        </w:tabs>
        <w:ind w:firstLine="360" w:left="-349"/>
        <w:jc w:val="both"/>
        <w:rPr>
          <w:rFonts w:ascii="Arial" w:hAnsi="Arial"/>
          <w:i w:val="1"/>
          <w:sz w:val="22"/>
        </w:rPr>
      </w:pPr>
      <w:r>
        <w:rPr>
          <w:rFonts w:ascii="Arial" w:hAnsi="Arial"/>
          <w:i w:val="1"/>
          <w:sz w:val="22"/>
        </w:rPr>
        <w:t>в</w:t>
      </w:r>
      <w:r>
        <w:rPr>
          <w:rFonts w:ascii="Arial" w:hAnsi="Arial"/>
          <w:i w:val="1"/>
          <w:sz w:val="22"/>
        </w:rPr>
        <w:t xml:space="preserve"> ином порядке (указать).</w:t>
      </w:r>
    </w:p>
    <w:p w14:paraId="31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Ведение журнала учета полученных и выставленных счетов-фактур, книги покупок и книги продаж, а также дополнительных листов к ним осуществляется:</w:t>
      </w:r>
    </w:p>
    <w:p w14:paraId="32000000">
      <w:pPr>
        <w:widowControl w:val="1"/>
        <w:tabs>
          <w:tab w:leader="none" w:pos="1080" w:val="left"/>
        </w:tabs>
        <w:ind w:firstLine="0" w:left="0"/>
        <w:jc w:val="left"/>
        <w:rPr>
          <w:rFonts w:ascii="Arial" w:hAnsi="Arial"/>
          <w:i w:val="1"/>
          <w:sz w:val="22"/>
        </w:rPr>
      </w:pPr>
      <w:r>
        <w:rPr>
          <w:rFonts w:ascii="Arial" w:hAnsi="Arial"/>
          <w:i w:val="1"/>
          <w:sz w:val="22"/>
        </w:rPr>
        <w:t xml:space="preserve">в отношении всех выставленных </w:t>
      </w:r>
      <w:r>
        <w:rPr>
          <w:rFonts w:ascii="Arial" w:hAnsi="Arial"/>
          <w:i w:val="1"/>
          <w:sz w:val="22"/>
        </w:rPr>
        <w:t xml:space="preserve">и полученных </w:t>
      </w:r>
      <w:r>
        <w:rPr>
          <w:rFonts w:ascii="Arial" w:hAnsi="Arial"/>
          <w:i w:val="1"/>
          <w:sz w:val="22"/>
        </w:rPr>
        <w:t xml:space="preserve">счетов-фактур, включая выставленные </w:t>
      </w:r>
      <w:r>
        <w:rPr>
          <w:rFonts w:ascii="Arial" w:hAnsi="Arial"/>
          <w:i w:val="1"/>
          <w:sz w:val="22"/>
        </w:rPr>
        <w:t xml:space="preserve">и полученные </w:t>
      </w:r>
      <w:r>
        <w:rPr>
          <w:rFonts w:ascii="Arial" w:hAnsi="Arial"/>
          <w:i w:val="1"/>
          <w:sz w:val="22"/>
        </w:rPr>
        <w:t xml:space="preserve">через </w:t>
      </w:r>
      <w:r>
        <w:rPr>
          <w:rFonts w:ascii="Arial" w:hAnsi="Arial"/>
          <w:i w:val="1"/>
          <w:sz w:val="22"/>
        </w:rPr>
        <w:t>обособленные</w:t>
      </w:r>
      <w:r>
        <w:rPr>
          <w:rFonts w:ascii="Arial" w:hAnsi="Arial"/>
          <w:i w:val="1"/>
          <w:sz w:val="22"/>
        </w:rPr>
        <w:t xml:space="preserve"> подразделения, в головной организации.</w:t>
      </w:r>
    </w:p>
    <w:p w14:paraId="33000000">
      <w:pPr>
        <w:widowControl w:val="1"/>
        <w:tabs>
          <w:tab w:leader="none" w:pos="1080" w:val="left"/>
        </w:tabs>
        <w:ind w:firstLine="0" w:left="0"/>
        <w:jc w:val="left"/>
        <w:rPr>
          <w:rFonts w:ascii="Arial" w:hAnsi="Arial"/>
          <w:i w:val="1"/>
          <w:sz w:val="22"/>
        </w:rPr>
      </w:pPr>
      <w:r>
        <w:rPr>
          <w:rFonts w:ascii="Arial" w:hAnsi="Arial"/>
          <w:i w:val="1"/>
          <w:sz w:val="22"/>
        </w:rPr>
        <w:t>в отношении вы</w:t>
      </w:r>
      <w:r>
        <w:rPr>
          <w:rFonts w:ascii="Arial" w:hAnsi="Arial"/>
          <w:i w:val="1"/>
          <w:sz w:val="22"/>
        </w:rPr>
        <w:t xml:space="preserve">ставленных </w:t>
      </w:r>
      <w:r>
        <w:rPr>
          <w:rFonts w:ascii="Arial" w:hAnsi="Arial"/>
          <w:i w:val="1"/>
          <w:sz w:val="22"/>
        </w:rPr>
        <w:t xml:space="preserve">и полученных </w:t>
      </w:r>
      <w:r>
        <w:rPr>
          <w:rFonts w:ascii="Arial" w:hAnsi="Arial"/>
          <w:i w:val="1"/>
          <w:sz w:val="22"/>
        </w:rPr>
        <w:t>счетов-фактур через головную организацию - в г</w:t>
      </w:r>
      <w:r>
        <w:rPr>
          <w:rFonts w:ascii="Arial" w:hAnsi="Arial"/>
          <w:i w:val="1"/>
          <w:sz w:val="22"/>
        </w:rPr>
        <w:t>о</w:t>
      </w:r>
      <w:r>
        <w:rPr>
          <w:rFonts w:ascii="Arial" w:hAnsi="Arial"/>
          <w:i w:val="1"/>
          <w:sz w:val="22"/>
        </w:rPr>
        <w:t xml:space="preserve">ловной организации; в отношении выставленных </w:t>
      </w:r>
      <w:r>
        <w:rPr>
          <w:rFonts w:ascii="Arial" w:hAnsi="Arial"/>
          <w:i w:val="1"/>
          <w:sz w:val="22"/>
        </w:rPr>
        <w:t xml:space="preserve">и полученных </w:t>
      </w:r>
      <w:r>
        <w:rPr>
          <w:rFonts w:ascii="Arial" w:hAnsi="Arial"/>
          <w:i w:val="1"/>
          <w:sz w:val="22"/>
        </w:rPr>
        <w:t xml:space="preserve">счетов-фактур через </w:t>
      </w:r>
      <w:r>
        <w:rPr>
          <w:rFonts w:ascii="Arial" w:hAnsi="Arial"/>
          <w:i w:val="1"/>
          <w:sz w:val="22"/>
        </w:rPr>
        <w:t>обособленны</w:t>
      </w:r>
      <w:r>
        <w:rPr>
          <w:rFonts w:ascii="Arial" w:hAnsi="Arial"/>
          <w:i w:val="1"/>
          <w:sz w:val="22"/>
        </w:rPr>
        <w:t xml:space="preserve">е подразделения - в </w:t>
      </w:r>
      <w:r>
        <w:rPr>
          <w:rFonts w:ascii="Arial" w:hAnsi="Arial"/>
          <w:i w:val="1"/>
          <w:sz w:val="22"/>
        </w:rPr>
        <w:t>обособленно</w:t>
      </w:r>
      <w:r>
        <w:rPr>
          <w:rFonts w:ascii="Arial" w:hAnsi="Arial"/>
          <w:i w:val="1"/>
          <w:sz w:val="22"/>
        </w:rPr>
        <w:t>м подразделении с последующей перед</w:t>
      </w:r>
      <w:r>
        <w:rPr>
          <w:rFonts w:ascii="Arial" w:hAnsi="Arial"/>
          <w:i w:val="1"/>
          <w:sz w:val="22"/>
        </w:rPr>
        <w:t>а</w:t>
      </w:r>
      <w:r>
        <w:rPr>
          <w:rFonts w:ascii="Arial" w:hAnsi="Arial"/>
          <w:i w:val="1"/>
          <w:sz w:val="22"/>
        </w:rPr>
        <w:t>чей в головную организацию.</w:t>
      </w:r>
    </w:p>
    <w:p w14:paraId="34000000">
      <w:pPr>
        <w:widowControl w:val="1"/>
        <w:tabs>
          <w:tab w:leader="none" w:pos="1080" w:val="left"/>
        </w:tabs>
        <w:ind w:firstLine="0" w:left="0"/>
        <w:jc w:val="left"/>
        <w:rPr>
          <w:rFonts w:ascii="Arial" w:hAnsi="Arial"/>
          <w:i w:val="1"/>
          <w:strike w:val="0"/>
          <w:color w:val="000000"/>
          <w:sz w:val="22"/>
          <w:highlight w:val="white"/>
        </w:rPr>
      </w:pPr>
      <w:r>
        <w:rPr>
          <w:rFonts w:ascii="Arial" w:hAnsi="Arial"/>
          <w:i w:val="1"/>
          <w:sz w:val="22"/>
        </w:rPr>
        <w:t>в ином порядке (указать)..</w:t>
      </w:r>
    </w:p>
    <w:p w14:paraId="35000000">
      <w:pPr>
        <w:widowControl w:val="1"/>
        <w:tabs>
          <w:tab w:leader="none" w:pos="1080" w:val="left"/>
        </w:tabs>
        <w:ind w:firstLine="0" w:left="0"/>
        <w:jc w:val="both"/>
        <w:rPr>
          <w:rFonts w:ascii="Arial" w:hAnsi="Arial"/>
          <w:i w:val="1"/>
          <w:sz w:val="22"/>
        </w:rPr>
      </w:pPr>
      <w:r>
        <w:rPr>
          <w:rFonts w:ascii="Arial" w:hAnsi="Arial"/>
          <w:b w:val="1"/>
          <w:strike w:val="0"/>
          <w:color w:val="000000"/>
          <w:sz w:val="22"/>
          <w:highlight w:val="white"/>
        </w:rPr>
        <w:t>11.</w:t>
      </w:r>
      <w:r>
        <w:rPr>
          <w:rFonts w:ascii="Arial" w:hAnsi="Arial"/>
          <w:strike w:val="0"/>
          <w:color w:val="000000"/>
          <w:sz w:val="22"/>
          <w:highlight w:val="white"/>
        </w:rPr>
        <w:t xml:space="preserve"> </w:t>
      </w:r>
      <w:r>
        <w:rPr>
          <w:rFonts w:ascii="Arial" w:hAnsi="Arial"/>
          <w:strike w:val="0"/>
          <w:color w:val="000000"/>
          <w:sz w:val="22"/>
          <w:highlight w:val="white"/>
        </w:rPr>
        <w:t xml:space="preserve">Контроль за правильностью ведения журнала учета полученных и выставленных счетов-фактур, книги покупок и книги продаж, а также дополнительных листов к ним осуществляет (для организаций) </w:t>
      </w:r>
    </w:p>
    <w:p w14:paraId="36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руководитель.</w:t>
      </w:r>
    </w:p>
    <w:p w14:paraId="37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уполномоченное приказом по предприятию лицо.</w:t>
      </w:r>
    </w:p>
    <w:p w14:paraId="38000000">
      <w:pPr>
        <w:widowControl w:val="1"/>
        <w:tabs>
          <w:tab w:leader="none" w:pos="1080" w:val="left"/>
        </w:tabs>
        <w:ind w:firstLine="0" w:left="0"/>
        <w:jc w:val="both"/>
        <w:rPr>
          <w:rFonts w:ascii="Arial" w:hAnsi="Arial"/>
          <w:i w:val="1"/>
          <w:sz w:val="22"/>
        </w:rPr>
      </w:pPr>
      <w:r>
        <w:rPr>
          <w:rFonts w:ascii="Arial" w:hAnsi="Arial"/>
          <w:b w:val="1"/>
          <w:strike w:val="0"/>
          <w:color w:val="000000"/>
          <w:sz w:val="22"/>
          <w:highlight w:val="white"/>
        </w:rPr>
        <w:t xml:space="preserve">12. </w:t>
      </w:r>
      <w:r>
        <w:rPr>
          <w:rFonts w:ascii="Arial" w:hAnsi="Arial"/>
          <w:strike w:val="0"/>
          <w:color w:val="000000"/>
          <w:sz w:val="22"/>
          <w:highlight w:val="white"/>
        </w:rPr>
        <w:t>При обнаружении ошибок (искажений) в исчислении налоговой базы, относящихся к прошлым налоговым периодам, в текущем налоговом периоде, если допущенные ошибки (искажения) привели к излишней уплате налога, перерасчет налоговой базы и суммы налога производится за период, в котором были</w:t>
      </w:r>
    </w:p>
    <w:p w14:paraId="39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совершены указанные ошибки (искажения).</w:t>
      </w:r>
    </w:p>
    <w:p w14:paraId="3A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выявлены указанные ошибки (искажения).</w:t>
      </w:r>
    </w:p>
    <w:p w14:paraId="3B000000">
      <w:pPr>
        <w:widowControl w:val="1"/>
        <w:tabs>
          <w:tab w:leader="none" w:pos="1080" w:val="left"/>
        </w:tabs>
        <w:ind w:firstLine="0" w:left="0"/>
        <w:jc w:val="both"/>
        <w:rPr>
          <w:rFonts w:ascii="Arial" w:hAnsi="Arial"/>
          <w:i w:val="1"/>
          <w:sz w:val="22"/>
        </w:rPr>
      </w:pPr>
      <w:r>
        <w:rPr>
          <w:rFonts w:ascii="Arial" w:hAnsi="Arial"/>
          <w:b w:val="1"/>
          <w:strike w:val="0"/>
          <w:color w:val="000000"/>
          <w:sz w:val="22"/>
          <w:highlight w:val="white"/>
        </w:rPr>
        <w:t>13.</w:t>
      </w:r>
      <w:r>
        <w:rPr>
          <w:rFonts w:ascii="Arial" w:hAnsi="Arial"/>
          <w:b w:val="0"/>
          <w:strike w:val="0"/>
          <w:color w:val="000000"/>
          <w:sz w:val="22"/>
          <w:highlight w:val="white"/>
        </w:rPr>
        <w:t xml:space="preserve"> В</w:t>
      </w:r>
      <w:r>
        <w:rPr>
          <w:rFonts w:ascii="Arial" w:hAnsi="Arial"/>
          <w:strike w:val="0"/>
          <w:color w:val="000000"/>
          <w:sz w:val="22"/>
          <w:highlight w:val="white"/>
        </w:rPr>
        <w:t xml:space="preserve">ычет по налогу на добавленную стоимость в более позднем периоде, чем возникло право на него </w:t>
      </w:r>
    </w:p>
    <w:p w14:paraId="3C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применять.</w:t>
      </w:r>
    </w:p>
    <w:p w14:paraId="3D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не применять.</w:t>
      </w:r>
    </w:p>
    <w:p w14:paraId="3E000000">
      <w:pPr>
        <w:widowControl w:val="1"/>
        <w:tabs>
          <w:tab w:leader="none" w:pos="1080" w:val="left"/>
        </w:tabs>
        <w:ind w:firstLine="0" w:left="0"/>
        <w:jc w:val="both"/>
        <w:rPr>
          <w:rFonts w:ascii="Arial" w:hAnsi="Arial"/>
          <w:i w:val="1"/>
          <w:sz w:val="22"/>
        </w:rPr>
      </w:pPr>
      <w:r>
        <w:rPr>
          <w:rFonts w:ascii="Arial" w:hAnsi="Arial"/>
          <w:b w:val="1"/>
          <w:strike w:val="0"/>
          <w:color w:val="000000"/>
          <w:sz w:val="22"/>
          <w:highlight w:val="white"/>
        </w:rPr>
        <w:t xml:space="preserve">14. </w:t>
      </w:r>
      <w:r>
        <w:rPr>
          <w:rFonts w:ascii="Arial" w:hAnsi="Arial"/>
          <w:strike w:val="0"/>
          <w:color w:val="000000"/>
          <w:sz w:val="22"/>
          <w:highlight w:val="white"/>
        </w:rPr>
        <w:t xml:space="preserve">Подтверждать дату фактического получения счетов-фактур </w:t>
      </w:r>
    </w:p>
    <w:p w14:paraId="3F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записью в журнале регистрации входящей корреспонденции.</w:t>
      </w:r>
    </w:p>
    <w:p w14:paraId="40000000">
      <w:pPr>
        <w:widowControl w:val="1"/>
        <w:tabs>
          <w:tab w:leader="none" w:pos="1080" w:val="left"/>
        </w:tabs>
        <w:ind w:firstLine="0" w:left="0"/>
        <w:jc w:val="both"/>
        <w:rPr>
          <w:rFonts w:ascii="Arial" w:hAnsi="Arial"/>
          <w:i w:val="1"/>
          <w:sz w:val="22"/>
        </w:rPr>
      </w:pPr>
      <w:r>
        <w:rPr>
          <w:rFonts w:ascii="Arial" w:hAnsi="Arial"/>
          <w:i w:val="1"/>
          <w:strike w:val="0"/>
          <w:color w:val="000000"/>
          <w:sz w:val="22"/>
          <w:highlight w:val="white"/>
        </w:rPr>
        <w:t>иным способом (указать спо</w:t>
      </w:r>
      <w:r>
        <w:rPr>
          <w:rFonts w:ascii="Arial" w:hAnsi="Arial"/>
          <w:i w:val="1"/>
          <w:sz w:val="22"/>
        </w:rPr>
        <w:t>соб).</w:t>
      </w:r>
    </w:p>
    <w:p w14:paraId="41000000">
      <w:pPr>
        <w:widowControl w:val="1"/>
        <w:spacing w:after="288" w:line="360" w:lineRule="auto"/>
        <w:ind/>
        <w:jc w:val="center"/>
        <w:rPr>
          <w:rFonts w:ascii="Arial" w:hAnsi="Arial"/>
          <w:b w:val="1"/>
          <w:strike w:val="0"/>
          <w:color w:val="000000"/>
          <w:sz w:val="28"/>
          <w:highlight w:val="white"/>
        </w:rPr>
      </w:pPr>
      <w:r>
        <w:rPr>
          <w:rFonts w:ascii="Georgia" w:hAnsi="Georgia"/>
          <w:b w:val="1"/>
          <w:strike w:val="0"/>
          <w:color w:val="000000"/>
          <w:sz w:val="28"/>
          <w:highlight w:val="white"/>
        </w:rPr>
        <w:t>Налог на прибыль</w:t>
      </w:r>
    </w:p>
    <w:p w14:paraId="42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1</w:t>
      </w:r>
      <w:r>
        <w:rPr>
          <w:rFonts w:ascii="Arial" w:hAnsi="Arial"/>
          <w:b w:val="1"/>
          <w:strike w:val="0"/>
          <w:color w:val="000000"/>
          <w:sz w:val="22"/>
          <w:highlight w:val="white"/>
        </w:rPr>
        <w:t xml:space="preserve">. </w:t>
      </w:r>
      <w:r>
        <w:rPr>
          <w:rFonts w:ascii="Arial" w:hAnsi="Arial"/>
          <w:strike w:val="0"/>
          <w:color w:val="000000"/>
          <w:sz w:val="22"/>
          <w:highlight w:val="white"/>
        </w:rPr>
        <w:t xml:space="preserve">Налоговый учет в 2024 году вести: </w:t>
      </w:r>
    </w:p>
    <w:p w14:paraId="43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с применением регистров налогового учета.</w:t>
      </w:r>
    </w:p>
    <w:p w14:paraId="44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с применением регистров бухгалтерского учета, дополнив их необходимыми реквизитами по правилам главы 25 НК.</w:t>
      </w:r>
    </w:p>
    <w:p w14:paraId="45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смешанным способом, как с применением регистров бухгалтерского учета по отдельным группам хозяйственных операций, так и с применением специализированных регистров налогового учета по тем группам хозяйственных операций, налоговый учет которых существенно отличается от правил бухгалтерского учета.</w:t>
      </w:r>
    </w:p>
    <w:p w14:paraId="46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 xml:space="preserve">Дата получения дохода (осуществления расхода) определяется: </w:t>
      </w:r>
    </w:p>
    <w:p w14:paraId="47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по методу начисления.</w:t>
      </w:r>
    </w:p>
    <w:p w14:paraId="48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по кассовому методу.</w:t>
      </w:r>
    </w:p>
    <w:p w14:paraId="49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Доходы от сдачи имущества в аренду признавать</w:t>
      </w:r>
    </w:p>
    <w:p w14:paraId="4A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доходами от реализации товаров (работ, услуг).</w:t>
      </w:r>
    </w:p>
    <w:p w14:paraId="4B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внереализационными доходами.</w:t>
      </w:r>
    </w:p>
    <w:p w14:paraId="4C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 xml:space="preserve">4. </w:t>
      </w:r>
      <w:r>
        <w:rPr>
          <w:rFonts w:ascii="Arial" w:hAnsi="Arial"/>
          <w:strike w:val="0"/>
          <w:color w:val="000000"/>
          <w:sz w:val="22"/>
          <w:highlight w:val="white"/>
        </w:rPr>
        <w:t>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а 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доходы распределяются по отчетным периодам</w:t>
      </w:r>
    </w:p>
    <w:p w14:paraId="4D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равномерно в течение срока действия договора.</w:t>
      </w:r>
    </w:p>
    <w:p w14:paraId="4E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пропорционально доле фактических расходов отчетного периода в общей сумме расходов, предусмотренных в смете.</w:t>
      </w:r>
    </w:p>
    <w:p w14:paraId="4F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иным способом (указать сп</w:t>
      </w:r>
      <w:r>
        <w:rPr>
          <w:rFonts w:ascii="Arial" w:hAnsi="Arial"/>
          <w:b w:val="0"/>
          <w:i w:val="1"/>
          <w:strike w:val="0"/>
          <w:color w:val="000000"/>
          <w:sz w:val="22"/>
          <w:highlight w:val="white"/>
        </w:rPr>
        <w:t>ос</w:t>
      </w:r>
      <w:r>
        <w:rPr>
          <w:rFonts w:ascii="Arial" w:hAnsi="Arial"/>
          <w:b w:val="0"/>
          <w:i w:val="1"/>
          <w:strike w:val="0"/>
          <w:color w:val="000000"/>
          <w:sz w:val="22"/>
          <w:highlight w:val="white"/>
        </w:rPr>
        <w:t>об).</w:t>
      </w:r>
    </w:p>
    <w:p w14:paraId="50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5</w:t>
      </w:r>
      <w:r>
        <w:rPr>
          <w:rFonts w:ascii="Arial" w:hAnsi="Arial"/>
          <w:b w:val="1"/>
          <w:strike w:val="0"/>
          <w:color w:val="000000"/>
          <w:sz w:val="22"/>
          <w:highlight w:val="white"/>
        </w:rPr>
        <w:t xml:space="preserve">. </w:t>
      </w:r>
      <w:r>
        <w:rPr>
          <w:rFonts w:ascii="Arial" w:hAnsi="Arial"/>
          <w:strike w:val="0"/>
          <w:color w:val="000000"/>
          <w:sz w:val="22"/>
          <w:highlight w:val="white"/>
        </w:rPr>
        <w:t>По затратам, которые с равными основаниями могут быть отнесены одновременно к нескольким группам расходов (кроме хозяйственных операций, связанных с приобретением основных средств), определить</w:t>
      </w:r>
    </w:p>
    <w:p w14:paraId="51000000">
      <w:pPr>
        <w:widowControl w:val="1"/>
        <w:spacing w:after="288" w:line="360" w:lineRule="auto"/>
        <w:ind/>
        <w:jc w:val="left"/>
        <w:rPr>
          <w:rFonts w:ascii="Arial" w:hAnsi="Arial"/>
          <w:b w:val="0"/>
          <w:i w:val="1"/>
          <w:strike w:val="0"/>
          <w:color w:val="000000"/>
          <w:sz w:val="22"/>
          <w:highlight w:val="white"/>
        </w:rPr>
      </w:pPr>
      <w:r>
        <w:rPr>
          <w:rFonts w:ascii="Arial" w:hAnsi="Arial"/>
          <w:b w:val="0"/>
          <w:i w:val="1"/>
          <w:strike w:val="0"/>
          <w:color w:val="000000"/>
          <w:sz w:val="22"/>
          <w:highlight w:val="white"/>
        </w:rPr>
        <w:t>виды (перечень) затрат</w:t>
      </w:r>
      <w:r>
        <w:rPr>
          <w:rFonts w:ascii="Arial" w:hAnsi="Arial"/>
          <w:b w:val="0"/>
          <w:i w:val="1"/>
          <w:strike w:val="0"/>
          <w:color w:val="000000"/>
          <w:sz w:val="22"/>
          <w:highlight w:val="white"/>
        </w:rPr>
        <w:t xml:space="preserve"> (указать)</w:t>
      </w:r>
    </w:p>
    <w:p w14:paraId="52000000">
      <w:pPr>
        <w:widowControl w:val="1"/>
        <w:spacing w:after="288" w:line="360" w:lineRule="auto"/>
        <w:ind/>
        <w:jc w:val="left"/>
        <w:rPr>
          <w:rFonts w:ascii="Arial" w:hAnsi="Arial"/>
          <w:b w:val="0"/>
          <w:i w:val="1"/>
          <w:strike w:val="0"/>
          <w:color w:val="000000"/>
          <w:sz w:val="22"/>
          <w:highlight w:val="white"/>
        </w:rPr>
      </w:pPr>
      <w:r>
        <w:rPr>
          <w:rFonts w:ascii="Arial" w:hAnsi="Arial"/>
          <w:b w:val="0"/>
          <w:i w:val="1"/>
          <w:strike w:val="0"/>
          <w:color w:val="000000"/>
          <w:sz w:val="22"/>
          <w:highlight w:val="white"/>
        </w:rPr>
        <w:t>__________________________________________________________________________.</w:t>
      </w:r>
    </w:p>
    <w:p w14:paraId="53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к какой именно группе относятся такие затраты.</w:t>
      </w:r>
    </w:p>
    <w:p w14:paraId="54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___________________________________________________________________________.</w:t>
      </w:r>
    </w:p>
    <w:p w14:paraId="55000000">
      <w:pPr>
        <w:widowControl w:val="1"/>
        <w:spacing w:after="288" w:line="360" w:lineRule="auto"/>
        <w:ind/>
        <w:jc w:val="left"/>
        <w:rPr>
          <w:rFonts w:ascii="Arial" w:hAnsi="Arial"/>
          <w:b w:val="0"/>
          <w:i w:val="1"/>
          <w:strike w:val="0"/>
          <w:color w:val="000000"/>
          <w:sz w:val="22"/>
          <w:highlight w:val="white"/>
        </w:rPr>
      </w:pPr>
      <w:r>
        <w:rPr>
          <w:rFonts w:ascii="Arial" w:hAnsi="Arial"/>
          <w:b w:val="0"/>
          <w:i w:val="1"/>
          <w:strike w:val="0"/>
          <w:color w:val="000000"/>
          <w:sz w:val="22"/>
          <w:highlight w:val="white"/>
        </w:rPr>
        <w:t>*Примечание. Например, таможенные пошлины и сборы (Письмо Минфина России от 20 февраля 2006 года № 03-03-04/1/130).</w:t>
      </w:r>
    </w:p>
    <w:p w14:paraId="56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6</w:t>
      </w:r>
      <w:r>
        <w:rPr>
          <w:rFonts w:ascii="Arial" w:hAnsi="Arial"/>
          <w:b w:val="1"/>
          <w:strike w:val="0"/>
          <w:color w:val="000000"/>
          <w:sz w:val="22"/>
          <w:highlight w:val="white"/>
        </w:rPr>
        <w:t xml:space="preserve">. </w:t>
      </w:r>
      <w:r>
        <w:rPr>
          <w:rFonts w:ascii="Arial" w:hAnsi="Arial"/>
          <w:b w:val="0"/>
          <w:strike w:val="0"/>
          <w:color w:val="000000"/>
          <w:sz w:val="22"/>
          <w:highlight w:val="white"/>
        </w:rPr>
        <w:t>Расходы, которые не могут быть непосредственно отнесены на затраты по конкретному виду деятельности, распределяются</w:t>
      </w:r>
      <w:r>
        <w:rPr>
          <w:rFonts w:ascii="Arial" w:hAnsi="Arial"/>
          <w:b w:val="1"/>
          <w:strike w:val="0"/>
          <w:color w:val="000000"/>
          <w:sz w:val="22"/>
          <w:highlight w:val="white"/>
        </w:rPr>
        <w:t xml:space="preserve"> </w:t>
      </w:r>
      <w:r>
        <w:rPr>
          <w:rFonts w:ascii="Arial" w:hAnsi="Arial"/>
          <w:strike w:val="0"/>
          <w:color w:val="000000"/>
          <w:sz w:val="22"/>
          <w:highlight w:val="white"/>
        </w:rPr>
        <w:t xml:space="preserve">пропорционально доле соответствующего дохода в суммарном объеме всех доходов предприятия нарастающим итогом: </w:t>
      </w:r>
    </w:p>
    <w:p w14:paraId="57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привести перечень подобных расходов</w:t>
      </w:r>
    </w:p>
    <w:p w14:paraId="58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___________________________________________________________________________.</w:t>
      </w:r>
    </w:p>
    <w:p w14:paraId="59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7</w:t>
      </w:r>
      <w:r>
        <w:rPr>
          <w:rFonts w:ascii="Arial" w:hAnsi="Arial"/>
          <w:b w:val="1"/>
          <w:strike w:val="0"/>
          <w:color w:val="000000"/>
          <w:sz w:val="22"/>
          <w:highlight w:val="white"/>
        </w:rPr>
        <w:t xml:space="preserve">. </w:t>
      </w:r>
      <w:r>
        <w:rPr>
          <w:rFonts w:ascii="Arial" w:hAnsi="Arial"/>
          <w:strike w:val="0"/>
          <w:color w:val="000000"/>
          <w:sz w:val="22"/>
          <w:highlight w:val="white"/>
        </w:rPr>
        <w:t>Внереализационные доходы общего характера распределяются пропорционально доходам от реализации</w:t>
      </w:r>
    </w:p>
    <w:p w14:paraId="5A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нарастающим итогом.</w:t>
      </w:r>
    </w:p>
    <w:p w14:paraId="5B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иным способом (указать способ).</w:t>
      </w:r>
    </w:p>
    <w:p w14:paraId="5C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не распределяются.</w:t>
      </w:r>
    </w:p>
    <w:p w14:paraId="5D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8</w:t>
      </w:r>
      <w:r>
        <w:rPr>
          <w:rFonts w:ascii="Arial" w:hAnsi="Arial"/>
          <w:b w:val="1"/>
          <w:strike w:val="0"/>
          <w:color w:val="000000"/>
          <w:sz w:val="22"/>
          <w:highlight w:val="white"/>
        </w:rPr>
        <w:t xml:space="preserve">. </w:t>
      </w:r>
      <w:r>
        <w:rPr>
          <w:rFonts w:ascii="Arial" w:hAnsi="Arial"/>
          <w:strike w:val="0"/>
          <w:color w:val="000000"/>
          <w:sz w:val="22"/>
          <w:highlight w:val="white"/>
        </w:rPr>
        <w:t>В случае, если сделка не содержит условий, позволяющих определить момент возникновения расходов, и связь между доходами и расходами не может быть определена четко или определяется косвенным путем, расходы распределяются</w:t>
      </w:r>
    </w:p>
    <w:p w14:paraId="5E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ежемесячно равными долями в течение времени с момента исполнения сделки и до окончания налогового периода, в котором данная сделка была исполнена.</w:t>
      </w:r>
    </w:p>
    <w:p w14:paraId="5F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иным способом (указать способ).</w:t>
      </w:r>
    </w:p>
    <w:p w14:paraId="60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9</w:t>
      </w:r>
      <w:r>
        <w:rPr>
          <w:rFonts w:ascii="Arial" w:hAnsi="Arial"/>
          <w:b w:val="1"/>
          <w:strike w:val="0"/>
          <w:color w:val="000000"/>
          <w:sz w:val="22"/>
          <w:highlight w:val="white"/>
        </w:rPr>
        <w:t xml:space="preserve">. </w:t>
      </w:r>
      <w:r>
        <w:rPr>
          <w:rFonts w:ascii="Arial" w:hAnsi="Arial"/>
          <w:strike w:val="0"/>
          <w:color w:val="000000"/>
          <w:sz w:val="22"/>
          <w:highlight w:val="white"/>
        </w:rPr>
        <w:t>К прямым расходам, связанным с производством и реализацией товаров (работ, услуг) относятся:</w:t>
      </w:r>
    </w:p>
    <w:p w14:paraId="61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все материальные расходы, определяемые согласно статье 254 НК, за исключением общехозяйственного назначения;</w:t>
      </w:r>
    </w:p>
    <w:p w14:paraId="62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расходы на оплату труда персонала, участвующего в процессе производства и реализации товаров (работ, услуг), кроме сотрудников АУП;</w:t>
      </w:r>
    </w:p>
    <w:p w14:paraId="63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взносы на обязательное страхование, начисленные на вышеуказанные суммы расходов на оплату труда;</w:t>
      </w:r>
    </w:p>
    <w:p w14:paraId="64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суммы начисленной амортизации по основным средствам, используемым при производстве и реализации товаров (работ, услуг), за исключением общехозяйственного назначения;</w:t>
      </w:r>
    </w:p>
    <w:p w14:paraId="65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иные расходы (указать).</w:t>
      </w:r>
    </w:p>
    <w:p w14:paraId="66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0</w:t>
      </w:r>
      <w:r>
        <w:rPr>
          <w:rFonts w:ascii="Arial" w:hAnsi="Arial"/>
          <w:b w:val="1"/>
          <w:strike w:val="0"/>
          <w:color w:val="000000"/>
          <w:sz w:val="22"/>
          <w:highlight w:val="white"/>
        </w:rPr>
        <w:t xml:space="preserve">. </w:t>
      </w:r>
      <w:r>
        <w:rPr>
          <w:rFonts w:ascii="Arial" w:hAnsi="Arial"/>
          <w:strike w:val="0"/>
          <w:color w:val="000000"/>
          <w:sz w:val="22"/>
          <w:highlight w:val="white"/>
        </w:rPr>
        <w:t>В случае оказания организацией услуг суммы прямых расходов, понесенных в текущем отчетном (налоговом) периоде при осуществлении этой деятельности</w:t>
      </w:r>
    </w:p>
    <w:p w14:paraId="67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полном объеме относить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14:paraId="68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распределять на остатки незавершенного производства.</w:t>
      </w:r>
    </w:p>
    <w:p w14:paraId="69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11</w:t>
      </w:r>
      <w:r>
        <w:rPr>
          <w:rFonts w:ascii="Arial" w:hAnsi="Arial"/>
          <w:b w:val="1"/>
          <w:strike w:val="0"/>
          <w:color w:val="000000"/>
          <w:sz w:val="22"/>
          <w:highlight w:val="white"/>
        </w:rPr>
        <w:t xml:space="preserve">. </w:t>
      </w:r>
      <w:r>
        <w:rPr>
          <w:rFonts w:ascii="Arial" w:hAnsi="Arial"/>
          <w:strike w:val="0"/>
          <w:color w:val="000000"/>
          <w:sz w:val="22"/>
          <w:highlight w:val="white"/>
        </w:rPr>
        <w:t>Прямые расходы на незавершенное производство и на изготовленную в текущем месяце продукцию (выполненные работы, оказанные услуги) распределяются на остатки НЗП</w:t>
      </w:r>
    </w:p>
    <w:p w14:paraId="6A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доле, соответствующей доле таких остатков в исходном сырье (в количественном выражении), за минусом технологических потерь. Сырьем в данном случае является материал, используемый в производстве в качестве материальной основы, который в результате последовательной технологической обработки (переработки) превращается в готовую продукцию.</w:t>
      </w:r>
    </w:p>
    <w:p w14:paraId="6B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пропорционально доле незавершенных (или завершенных, но не принятых на конец текущего месяца) заказов на выполнение работ (оказание услуг) в общем объеме выполняемых в течение месяца заказов.</w:t>
      </w:r>
    </w:p>
    <w:p w14:paraId="6C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пропорционально доле прямых затрат в плановой (нормативной, сметной) стоимости продукции.</w:t>
      </w:r>
    </w:p>
    <w:p w14:paraId="6D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иным способом (указать способ).</w:t>
      </w:r>
    </w:p>
    <w:p w14:paraId="6E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В случае, если отдельные прямые расходы отнести к конкретному производственному процессу по изготовлению данного вида продукции (работ, услуг) невозможно, их следует распределять</w:t>
      </w:r>
    </w:p>
    <w:p w14:paraId="6F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пропорционально заработной плате работников предприятия, непосредственно осуществляющих конкретный производственный процесс.</w:t>
      </w:r>
    </w:p>
    <w:p w14:paraId="70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пропорционально стоимости материалов, непосредственно использованных в конкретном производственном процессе.</w:t>
      </w:r>
    </w:p>
    <w:p w14:paraId="71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пропорционально плановой (нормативной, сметной) стоимости выполнения конкретного производственного процесса.</w:t>
      </w:r>
    </w:p>
    <w:p w14:paraId="72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иным способом (</w:t>
      </w:r>
      <w:r>
        <w:rPr>
          <w:rFonts w:ascii="Arial" w:hAnsi="Arial"/>
          <w:i w:val="1"/>
          <w:strike w:val="0"/>
          <w:color w:val="000000"/>
          <w:sz w:val="22"/>
          <w:highlight w:val="white"/>
        </w:rPr>
        <w:t>указать способ).</w:t>
      </w:r>
    </w:p>
    <w:p w14:paraId="73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Расходы на приобретение прав на земельные участки включаются в состав прочих расходов текущего отчетного (налогового) периода</w:t>
      </w:r>
    </w:p>
    <w:p w14:paraId="74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равномерно в течение определенного срока.</w:t>
      </w:r>
    </w:p>
    <w:p w14:paraId="75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размере, не превышающем 30 процентов исчисленной в соответствии со статьей 274 НК налоговой базы предыдущего налогового периода, до полного признания всей суммы указанных расходов</w:t>
      </w:r>
    </w:p>
    <w:p w14:paraId="76000000">
      <w:pPr>
        <w:widowControl w:val="1"/>
        <w:spacing w:after="288" w:line="360" w:lineRule="auto"/>
        <w:ind/>
        <w:jc w:val="left"/>
        <w:rPr>
          <w:rFonts w:ascii="Arial" w:hAnsi="Arial"/>
          <w:b w:val="0"/>
          <w:i w:val="1"/>
          <w:strike w:val="0"/>
          <w:color w:val="000000"/>
          <w:sz w:val="22"/>
          <w:highlight w:val="white"/>
        </w:rPr>
      </w:pPr>
      <w:r>
        <w:rPr>
          <w:rFonts w:ascii="Arial" w:hAnsi="Arial"/>
          <w:b w:val="0"/>
          <w:i w:val="1"/>
          <w:strike w:val="0"/>
          <w:color w:val="000000"/>
          <w:sz w:val="22"/>
          <w:highlight w:val="white"/>
        </w:rPr>
        <w:t>*</w:t>
      </w:r>
      <w:r>
        <w:rPr>
          <w:rFonts w:ascii="Arial" w:hAnsi="Arial"/>
          <w:b w:val="0"/>
          <w:i w:val="1"/>
          <w:strike w:val="0"/>
          <w:color w:val="000000"/>
          <w:sz w:val="22"/>
          <w:highlight w:val="white"/>
        </w:rPr>
        <w:t>Примечание: Если расходы, связанные с приобретением товарно-материальных ценностей и прочих активов предприятия, невозможно отнести на конкретное имущество, их распределение осуществляется пропорционально объему, весу, стоимости или иному показателю, наиболее достоверно определяющему соответствующую пропорцию.</w:t>
      </w:r>
    </w:p>
    <w:p w14:paraId="77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 xml:space="preserve">14. </w:t>
      </w:r>
      <w:r>
        <w:rPr>
          <w:rFonts w:ascii="Arial" w:hAnsi="Arial"/>
          <w:strike w:val="0"/>
          <w:color w:val="000000"/>
          <w:sz w:val="22"/>
          <w:highlight w:val="white"/>
        </w:rPr>
        <w:t>Формировать стоимость товаров, приобретенных с целью их дальнейшей реализации</w:t>
      </w:r>
    </w:p>
    <w:p w14:paraId="78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с учетом расходов, связанных с приобретением этих товаров.</w:t>
      </w:r>
    </w:p>
    <w:p w14:paraId="79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без учета расходов, связанных с приобретением товаров.</w:t>
      </w:r>
    </w:p>
    <w:p w14:paraId="7A000000">
      <w:pPr>
        <w:widowControl w:val="1"/>
        <w:spacing w:after="288" w:line="360" w:lineRule="auto"/>
        <w:ind/>
        <w:jc w:val="left"/>
        <w:rPr>
          <w:rFonts w:ascii="Arial" w:hAnsi="Arial"/>
          <w:b w:val="0"/>
          <w:i w:val="1"/>
          <w:strike w:val="0"/>
          <w:color w:val="000000"/>
          <w:sz w:val="22"/>
          <w:highlight w:val="white"/>
        </w:rPr>
      </w:pPr>
      <w:r>
        <w:rPr>
          <w:rFonts w:ascii="Arial" w:hAnsi="Arial"/>
          <w:b w:val="0"/>
          <w:i w:val="1"/>
          <w:strike w:val="0"/>
          <w:color w:val="000000"/>
          <w:sz w:val="22"/>
          <w:highlight w:val="white"/>
        </w:rPr>
        <w:t>*Примечание: Для различных групп материально-производственных запасов в зависимости от их характеристик возможно применение различных методов списания их стоимости (Письмо Минфина России от 29 ноября 2013 года № 03-03-06/1/51819).</w:t>
      </w:r>
      <w:r>
        <w:rPr>
          <w:rFonts w:ascii="Arial" w:hAnsi="Arial"/>
          <w:b w:val="0"/>
          <w:i w:val="1"/>
          <w:strike w:val="0"/>
          <w:color w:val="000000"/>
          <w:sz w:val="22"/>
          <w:highlight w:val="white"/>
        </w:rPr>
        <w:t xml:space="preserve"> При этом порядок оценки материально-производственных запасов регулируется правилами бухгалтерского учета.</w:t>
      </w:r>
    </w:p>
    <w:p w14:paraId="7B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5</w:t>
      </w:r>
      <w:r>
        <w:rPr>
          <w:rFonts w:ascii="Arial" w:hAnsi="Arial"/>
          <w:b w:val="1"/>
          <w:strike w:val="0"/>
          <w:color w:val="000000"/>
          <w:sz w:val="22"/>
          <w:highlight w:val="white"/>
        </w:rPr>
        <w:t xml:space="preserve">. </w:t>
      </w:r>
      <w:r>
        <w:rPr>
          <w:rFonts w:ascii="Arial" w:hAnsi="Arial"/>
          <w:strike w:val="0"/>
          <w:color w:val="000000"/>
          <w:sz w:val="22"/>
          <w:highlight w:val="white"/>
        </w:rPr>
        <w:t>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w:t>
      </w:r>
    </w:p>
    <w:p w14:paraId="7C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метод оценки по стоимости единицы запасов.</w:t>
      </w:r>
    </w:p>
    <w:p w14:paraId="7D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метод оценки по средней стоимости.</w:t>
      </w:r>
    </w:p>
    <w:p w14:paraId="7E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метод оценки по стоимости первых по времени приобретений (ФИФО).</w:t>
      </w:r>
    </w:p>
    <w:p w14:paraId="7F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6</w:t>
      </w:r>
      <w:r>
        <w:rPr>
          <w:rFonts w:ascii="Arial" w:hAnsi="Arial"/>
          <w:b w:val="1"/>
          <w:strike w:val="0"/>
          <w:color w:val="000000"/>
          <w:sz w:val="22"/>
          <w:highlight w:val="white"/>
        </w:rPr>
        <w:t xml:space="preserve">. </w:t>
      </w:r>
      <w:r>
        <w:rPr>
          <w:rFonts w:ascii="Arial" w:hAnsi="Arial"/>
          <w:strike w:val="0"/>
          <w:color w:val="000000"/>
          <w:sz w:val="22"/>
          <w:highlight w:val="white"/>
        </w:rPr>
        <w:t>При реализации покупных товаров стоимость приобретения данных товаров списывается на расходы</w:t>
      </w:r>
    </w:p>
    <w:p w14:paraId="80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по стоимости первых по времени приобретения (ФИФО).</w:t>
      </w:r>
    </w:p>
    <w:p w14:paraId="81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по средней стоимости.</w:t>
      </w:r>
    </w:p>
    <w:p w14:paraId="82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по стоимости единицы товара</w:t>
      </w:r>
    </w:p>
    <w:p w14:paraId="83000000">
      <w:pPr>
        <w:widowControl w:val="1"/>
        <w:spacing w:after="288" w:line="360" w:lineRule="auto"/>
        <w:ind/>
        <w:jc w:val="left"/>
        <w:rPr>
          <w:rFonts w:ascii="Arial" w:hAnsi="Arial"/>
          <w:b w:val="0"/>
          <w:i w:val="1"/>
          <w:strike w:val="0"/>
          <w:color w:val="000000"/>
          <w:sz w:val="22"/>
          <w:highlight w:val="white"/>
        </w:rPr>
      </w:pPr>
      <w:r>
        <w:rPr>
          <w:rFonts w:ascii="Arial" w:hAnsi="Arial"/>
          <w:b w:val="0"/>
          <w:i w:val="1"/>
          <w:strike w:val="0"/>
          <w:color w:val="000000"/>
          <w:sz w:val="22"/>
          <w:highlight w:val="white"/>
        </w:rPr>
        <w:t>*Примечание. Для различных групп товаров в зависимости от их характеристик возможно применение различных методов списания их стоимости (Письмо Минфина России от 1 августа 2006 года № 03-03-04/1/616). При этом порядок оценки покупных товаров регулируется правилами бухгалтерского учета.</w:t>
      </w:r>
    </w:p>
    <w:p w14:paraId="84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7</w:t>
      </w:r>
      <w:r>
        <w:rPr>
          <w:rFonts w:ascii="Arial" w:hAnsi="Arial"/>
          <w:b w:val="1"/>
          <w:strike w:val="0"/>
          <w:color w:val="000000"/>
          <w:sz w:val="22"/>
          <w:highlight w:val="white"/>
        </w:rPr>
        <w:t xml:space="preserve">. </w:t>
      </w:r>
      <w:r>
        <w:rPr>
          <w:rFonts w:ascii="Arial" w:hAnsi="Arial"/>
          <w:strike w:val="0"/>
          <w:color w:val="000000"/>
          <w:sz w:val="22"/>
          <w:highlight w:val="white"/>
        </w:rPr>
        <w:t>При реализации или ином выбытии ценных бумаг стоимость выбывших ценных бумаг списывается на расходы</w:t>
      </w:r>
    </w:p>
    <w:p w14:paraId="85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по стоимости первых по времени приобретений (ФИФО).</w:t>
      </w:r>
    </w:p>
    <w:p w14:paraId="86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по стоимости единицы.</w:t>
      </w:r>
    </w:p>
    <w:p w14:paraId="87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8</w:t>
      </w:r>
      <w:r>
        <w:rPr>
          <w:rFonts w:ascii="Arial" w:hAnsi="Arial"/>
          <w:b w:val="1"/>
          <w:strike w:val="0"/>
          <w:color w:val="000000"/>
          <w:sz w:val="22"/>
          <w:highlight w:val="white"/>
        </w:rPr>
        <w:t xml:space="preserve">. </w:t>
      </w:r>
      <w:r>
        <w:rPr>
          <w:rFonts w:ascii="Arial" w:hAnsi="Arial"/>
          <w:strike w:val="0"/>
          <w:color w:val="000000"/>
          <w:sz w:val="22"/>
          <w:highlight w:val="white"/>
        </w:rPr>
        <w:t>Определять расчетную цену ценных бумаг, не обращающихся на организованном рынке ценных бумаг</w:t>
      </w:r>
    </w:p>
    <w:p w14:paraId="88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как оценочную стоимость ценной бумаги, определенную оценщиком.</w:t>
      </w:r>
    </w:p>
    <w:p w14:paraId="89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иным способом (</w:t>
      </w:r>
      <w:r>
        <w:rPr>
          <w:rFonts w:ascii="Arial" w:hAnsi="Arial"/>
          <w:i w:val="1"/>
          <w:strike w:val="0"/>
          <w:color w:val="000000"/>
          <w:sz w:val="22"/>
          <w:highlight w:val="white"/>
        </w:rPr>
        <w:t>указать способ).</w:t>
      </w:r>
    </w:p>
    <w:p w14:paraId="8A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1</w:t>
      </w:r>
      <w:r>
        <w:rPr>
          <w:rFonts w:ascii="Arial" w:hAnsi="Arial"/>
          <w:b w:val="1"/>
          <w:strike w:val="0"/>
          <w:color w:val="000000"/>
          <w:sz w:val="22"/>
          <w:highlight w:val="white"/>
        </w:rPr>
        <w:t>9</w:t>
      </w:r>
      <w:r>
        <w:rPr>
          <w:rFonts w:ascii="Arial" w:hAnsi="Arial"/>
          <w:b w:val="1"/>
          <w:strike w:val="0"/>
          <w:color w:val="000000"/>
          <w:sz w:val="22"/>
          <w:highlight w:val="white"/>
        </w:rPr>
        <w:t xml:space="preserve">. </w:t>
      </w:r>
      <w:r>
        <w:rPr>
          <w:rFonts w:ascii="Arial" w:hAnsi="Arial"/>
          <w:strike w:val="0"/>
          <w:color w:val="000000"/>
          <w:sz w:val="22"/>
          <w:highlight w:val="white"/>
        </w:rPr>
        <w:t>Начислять амортизацию по объектам основных средств:</w:t>
      </w:r>
    </w:p>
    <w:p w14:paraId="8B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линейным методом.</w:t>
      </w:r>
    </w:p>
    <w:p w14:paraId="8C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нелинейным методом.</w:t>
      </w:r>
    </w:p>
    <w:p w14:paraId="8D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20</w:t>
      </w:r>
      <w:r>
        <w:rPr>
          <w:rFonts w:ascii="Arial" w:hAnsi="Arial"/>
          <w:b w:val="1"/>
          <w:strike w:val="0"/>
          <w:color w:val="000000"/>
          <w:sz w:val="22"/>
          <w:highlight w:val="white"/>
        </w:rPr>
        <w:t xml:space="preserve">. </w:t>
      </w:r>
      <w:r>
        <w:rPr>
          <w:rFonts w:ascii="Arial" w:hAnsi="Arial"/>
          <w:strike w:val="0"/>
          <w:color w:val="000000"/>
          <w:sz w:val="22"/>
          <w:highlight w:val="white"/>
        </w:rPr>
        <w:t>Расходы на капитальные вложения и расходы, понесенные в случаях достройки, дооборудования, реконструкции, модернизации, технического перевооружения, частичной ликвидации основных средств (далее по тексту – «амортизационная премия»), в состав расходов отчетного (налогового) периода</w:t>
      </w:r>
    </w:p>
    <w:p w14:paraId="8E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включать.</w:t>
      </w:r>
    </w:p>
    <w:p w14:paraId="8F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не включать.</w:t>
      </w:r>
    </w:p>
    <w:p w14:paraId="90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1</w:t>
      </w:r>
      <w:r>
        <w:rPr>
          <w:rFonts w:ascii="Arial" w:hAnsi="Arial"/>
          <w:b w:val="1"/>
          <w:strike w:val="0"/>
          <w:color w:val="000000"/>
          <w:sz w:val="22"/>
          <w:highlight w:val="white"/>
        </w:rPr>
        <w:t xml:space="preserve">. </w:t>
      </w:r>
      <w:r>
        <w:rPr>
          <w:rFonts w:ascii="Arial" w:hAnsi="Arial"/>
          <w:strike w:val="0"/>
          <w:color w:val="000000"/>
          <w:sz w:val="22"/>
          <w:highlight w:val="white"/>
        </w:rPr>
        <w:t>Инвестиционный налоговый вычет</w:t>
      </w:r>
    </w:p>
    <w:p w14:paraId="91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применяется к имуществу 3-7 амортизационной группы.</w:t>
      </w:r>
    </w:p>
    <w:p w14:paraId="92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не применяется.</w:t>
      </w:r>
    </w:p>
    <w:p w14:paraId="93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Применять амортизационную премию в отношении:</w:t>
      </w:r>
    </w:p>
    <w:p w14:paraId="94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всех основных средств.</w:t>
      </w:r>
    </w:p>
    <w:p w14:paraId="95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всех основных средств, кроме тех, по которым применяется инвестиционный налоговый вычет.</w:t>
      </w:r>
    </w:p>
    <w:p w14:paraId="96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основных средств с первоначальной стоимостью не менеe.</w:t>
      </w:r>
    </w:p>
    <w:p w14:paraId="97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В отношении амортизируемых основных средств (кроме основных средств, относящихся к первой, второй и третьей амортизационным группам, в случае, если амортизация по данным основным средствам начисляется нелинейным методом), используемых для работы в условиях агрессивной среды и (или) повышенной сменности, к основной норме амортизации применять специальный коэффициент, равный</w:t>
      </w:r>
      <w:r>
        <w:rPr>
          <w:rFonts w:ascii="Arial" w:hAnsi="Arial"/>
          <w:strike w:val="0"/>
          <w:color w:val="000000"/>
          <w:sz w:val="22"/>
          <w:highlight w:val="white"/>
        </w:rPr>
        <w:t xml:space="preserve"> _____ </w:t>
      </w:r>
      <w:r>
        <w:rPr>
          <w:rFonts w:ascii="Arial" w:hAnsi="Arial"/>
          <w:strike w:val="0"/>
          <w:color w:val="000000"/>
          <w:sz w:val="22"/>
          <w:highlight w:val="white"/>
        </w:rPr>
        <w:t>(но не выше 2).</w:t>
      </w:r>
    </w:p>
    <w:p w14:paraId="98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4</w:t>
      </w:r>
      <w:r>
        <w:rPr>
          <w:rFonts w:ascii="Arial" w:hAnsi="Arial"/>
          <w:b w:val="1"/>
          <w:strike w:val="0"/>
          <w:color w:val="000000"/>
          <w:sz w:val="22"/>
          <w:highlight w:val="white"/>
        </w:rPr>
        <w:t xml:space="preserve">. </w:t>
      </w:r>
      <w:r>
        <w:rPr>
          <w:rFonts w:ascii="Arial" w:hAnsi="Arial"/>
          <w:strike w:val="0"/>
          <w:color w:val="000000"/>
          <w:sz w:val="22"/>
          <w:highlight w:val="white"/>
        </w:rPr>
        <w:t>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к основной норме амортизации применять специальный коэффициент, равный</w:t>
      </w:r>
      <w:r>
        <w:rPr>
          <w:rFonts w:ascii="Arial" w:hAnsi="Arial"/>
          <w:strike w:val="0"/>
          <w:color w:val="000000"/>
          <w:sz w:val="22"/>
          <w:highlight w:val="white"/>
        </w:rPr>
        <w:t xml:space="preserve"> ____ </w:t>
      </w:r>
      <w:r>
        <w:rPr>
          <w:rFonts w:ascii="Arial" w:hAnsi="Arial"/>
          <w:strike w:val="0"/>
          <w:color w:val="000000"/>
          <w:sz w:val="22"/>
          <w:highlight w:val="white"/>
        </w:rPr>
        <w:t>(но не выше 2).</w:t>
      </w:r>
    </w:p>
    <w:p w14:paraId="99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5</w:t>
      </w:r>
      <w:r>
        <w:rPr>
          <w:rFonts w:ascii="Arial" w:hAnsi="Arial"/>
          <w:b w:val="1"/>
          <w:strike w:val="0"/>
          <w:color w:val="000000"/>
          <w:sz w:val="22"/>
          <w:highlight w:val="white"/>
        </w:rPr>
        <w:t xml:space="preserve">. </w:t>
      </w:r>
      <w:r>
        <w:rPr>
          <w:rFonts w:ascii="Arial" w:hAnsi="Arial"/>
          <w:strike w:val="0"/>
          <w:color w:val="000000"/>
          <w:sz w:val="22"/>
          <w:highlight w:val="white"/>
        </w:rPr>
        <w:t>В отношении амортизируемых основных средств, используемых только для осуществления научно-технической деятельности, к основной норме амортизации применять специальный коэффициент</w:t>
      </w:r>
      <w:r>
        <w:rPr>
          <w:rFonts w:ascii="Arial" w:hAnsi="Arial"/>
          <w:strike w:val="0"/>
          <w:color w:val="000000"/>
          <w:sz w:val="22"/>
          <w:highlight w:val="white"/>
        </w:rPr>
        <w:t xml:space="preserve"> ____ </w:t>
      </w:r>
      <w:r>
        <w:rPr>
          <w:rFonts w:ascii="Arial" w:hAnsi="Arial"/>
          <w:strike w:val="0"/>
          <w:color w:val="000000"/>
          <w:sz w:val="22"/>
          <w:highlight w:val="white"/>
        </w:rPr>
        <w:t>(но не выше 3).</w:t>
      </w:r>
    </w:p>
    <w:p w14:paraId="9A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6</w:t>
      </w:r>
      <w:r>
        <w:rPr>
          <w:rFonts w:ascii="Arial" w:hAnsi="Arial"/>
          <w:b w:val="1"/>
          <w:strike w:val="0"/>
          <w:color w:val="000000"/>
          <w:sz w:val="22"/>
          <w:highlight w:val="white"/>
        </w:rPr>
        <w:t xml:space="preserve">. </w:t>
      </w:r>
      <w:r>
        <w:rPr>
          <w:rFonts w:ascii="Arial" w:hAnsi="Arial"/>
          <w:strike w:val="0"/>
          <w:color w:val="000000"/>
          <w:sz w:val="22"/>
          <w:highlight w:val="white"/>
        </w:rPr>
        <w:t>В отношении амортизируемых основных средств (кроме основных средств, относящихся к первой, второй и третьей амортизационным группам), которые являются предметом договора финансовой аренды (договора лизинга), к основной норме амортизации применять специальный коэффициент, устанавливаемый по каждому договору индивидуально согласно приказу по предприятию (но не выше 3).</w:t>
      </w:r>
    </w:p>
    <w:p w14:paraId="9B000000">
      <w:pPr>
        <w:widowControl w:val="1"/>
        <w:spacing w:after="288" w:line="360" w:lineRule="auto"/>
        <w:ind/>
        <w:jc w:val="left"/>
        <w:rPr>
          <w:rFonts w:ascii="Arial" w:hAnsi="Arial"/>
          <w:b w:val="0"/>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7</w:t>
      </w:r>
      <w:r>
        <w:rPr>
          <w:rFonts w:ascii="Arial" w:hAnsi="Arial"/>
          <w:b w:val="1"/>
          <w:strike w:val="0"/>
          <w:color w:val="000000"/>
          <w:sz w:val="22"/>
          <w:highlight w:val="white"/>
        </w:rPr>
        <w:t xml:space="preserve">. </w:t>
      </w:r>
      <w:r>
        <w:rPr>
          <w:rFonts w:ascii="Arial" w:hAnsi="Arial"/>
          <w:strike w:val="0"/>
          <w:color w:val="000000"/>
          <w:sz w:val="22"/>
          <w:highlight w:val="white"/>
        </w:rPr>
        <w:t xml:space="preserve">Использовать пониженные нормы амортизации по следующим объектам </w:t>
      </w:r>
      <w:r>
        <w:rPr>
          <w:rFonts w:ascii="Arial" w:hAnsi="Arial"/>
          <w:i w:val="0"/>
          <w:strike w:val="0"/>
          <w:color w:val="000000"/>
          <w:sz w:val="22"/>
          <w:highlight w:val="white"/>
        </w:rPr>
        <w:t>амортизируемого имущества</w:t>
      </w:r>
    </w:p>
    <w:p w14:paraId="9C000000">
      <w:pPr>
        <w:widowControl w:val="1"/>
        <w:spacing w:after="288" w:line="360" w:lineRule="auto"/>
        <w:ind/>
        <w:jc w:val="left"/>
        <w:rPr>
          <w:rFonts w:ascii="Arial" w:hAnsi="Arial"/>
          <w:b w:val="0"/>
          <w:i w:val="1"/>
          <w:strike w:val="0"/>
          <w:color w:val="000000"/>
          <w:sz w:val="22"/>
          <w:highlight w:val="white"/>
        </w:rPr>
      </w:pPr>
      <w:r>
        <w:rPr>
          <w:rFonts w:ascii="Arial" w:hAnsi="Arial"/>
          <w:i w:val="1"/>
          <w:strike w:val="0"/>
          <w:color w:val="000000"/>
          <w:sz w:val="22"/>
          <w:highlight w:val="white"/>
        </w:rPr>
        <w:t>(представить перечень объектов)</w:t>
      </w:r>
    </w:p>
    <w:p w14:paraId="9D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__________________________________________________________________________.</w:t>
      </w:r>
    </w:p>
    <w:p w14:paraId="9E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8</w:t>
      </w:r>
      <w:r>
        <w:rPr>
          <w:rFonts w:ascii="Arial" w:hAnsi="Arial"/>
          <w:b w:val="1"/>
          <w:strike w:val="0"/>
          <w:color w:val="000000"/>
          <w:sz w:val="22"/>
          <w:highlight w:val="white"/>
        </w:rPr>
        <w:t xml:space="preserve">. </w:t>
      </w:r>
      <w:r>
        <w:rPr>
          <w:rFonts w:ascii="Arial" w:hAnsi="Arial"/>
          <w:strike w:val="0"/>
          <w:color w:val="000000"/>
          <w:sz w:val="22"/>
          <w:highlight w:val="white"/>
        </w:rPr>
        <w:t>По объектам основных средств, бывшим в эксплуатации, норма амортизации определяется</w:t>
      </w:r>
    </w:p>
    <w:p w14:paraId="9F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 учетом срока эксплуатации имущества предыдущими собственниками.</w:t>
      </w:r>
    </w:p>
    <w:p w14:paraId="A0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обычном порядке.</w:t>
      </w:r>
    </w:p>
    <w:p w14:paraId="A1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2</w:t>
      </w:r>
      <w:r>
        <w:rPr>
          <w:rFonts w:ascii="Arial" w:hAnsi="Arial"/>
          <w:b w:val="1"/>
          <w:strike w:val="0"/>
          <w:color w:val="000000"/>
          <w:sz w:val="22"/>
          <w:highlight w:val="white"/>
        </w:rPr>
        <w:t>9.</w:t>
      </w:r>
      <w:r>
        <w:rPr>
          <w:rFonts w:ascii="Arial" w:hAnsi="Arial"/>
          <w:b w:val="1"/>
          <w:strike w:val="0"/>
          <w:color w:val="000000"/>
          <w:sz w:val="22"/>
          <w:highlight w:val="white"/>
        </w:rPr>
        <w:t xml:space="preserve"> </w:t>
      </w:r>
      <w:r>
        <w:rPr>
          <w:rFonts w:ascii="Arial" w:hAnsi="Arial"/>
          <w:strike w:val="0"/>
          <w:color w:val="000000"/>
          <w:sz w:val="22"/>
          <w:highlight w:val="white"/>
        </w:rPr>
        <w:t>Стоимость инструментов, приспособлений, инвентаря, приборов, лабораторного оборудования, спецодежды и других предметов, не являющихся амортизируемым имуществом, включается в состав материальных расходов</w:t>
      </w:r>
    </w:p>
    <w:p w14:paraId="A2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полной сумме по мере ввода его в эксплуатацию.</w:t>
      </w:r>
    </w:p>
    <w:p w14:paraId="A3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порядке, предусмотренном для данных активов Приказом об учетной политике предприятия.</w:t>
      </w:r>
    </w:p>
    <w:p w14:paraId="A4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30</w:t>
      </w:r>
      <w:r>
        <w:rPr>
          <w:rFonts w:ascii="Arial" w:hAnsi="Arial"/>
          <w:b w:val="1"/>
          <w:strike w:val="0"/>
          <w:color w:val="000000"/>
          <w:sz w:val="22"/>
          <w:highlight w:val="white"/>
        </w:rPr>
        <w:t xml:space="preserve">. </w:t>
      </w:r>
      <w:r>
        <w:rPr>
          <w:rFonts w:ascii="Arial" w:hAnsi="Arial"/>
          <w:strike w:val="0"/>
          <w:color w:val="000000"/>
          <w:sz w:val="22"/>
          <w:highlight w:val="white"/>
        </w:rPr>
        <w:t>При исчислении сумм авансовых платежей, а также сумм налога, подлежащих зачислению в доходную часть бюджетов субъектов Российской Федерации по месту нахождения организации, а также по месту нахождения каждого из ее обособленных подразделений, учитывать показатель</w:t>
      </w:r>
    </w:p>
    <w:p w14:paraId="A5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среднесписочной численности работников.</w:t>
      </w:r>
    </w:p>
    <w:p w14:paraId="A6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расходов на оплату труда (по согласованию с налоговым органом).</w:t>
      </w:r>
    </w:p>
    <w:p w14:paraId="A7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По обособленным подразделениям, находящимся на территории одного субъекта Российской Федерации, распределение прибыли по каждому из этих подразделений:</w:t>
      </w:r>
    </w:p>
    <w:p w14:paraId="A8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производить</w:t>
      </w:r>
    </w:p>
    <w:p w14:paraId="A9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не производить</w:t>
      </w:r>
    </w:p>
    <w:p w14:paraId="AA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Сумма ежемесячных авансовых платежей определяется</w:t>
      </w:r>
    </w:p>
    <w:p w14:paraId="AB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равными долями в размере одной трети фактически исчисленного квартального авансового платежа за квартал, предшествующий кварталу, в котором производится уплата ежемесячных авансовых платежей (в первом квартале – исходя из прибыли за третий квартал предыдущего налогового периода).</w:t>
      </w:r>
    </w:p>
    <w:p w14:paraId="AC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w:t>
      </w:r>
    </w:p>
    <w:p w14:paraId="AD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В целях покрытия убытков по безнадежным долгам по результатам проведенной в конце предыдущего отчетного (налогового) периода инвентаризации дебиторской задолженности резервы по сомнительным долгам</w:t>
      </w:r>
    </w:p>
    <w:p w14:paraId="AE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создавать.</w:t>
      </w:r>
    </w:p>
    <w:p w14:paraId="AF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не создавать.</w:t>
      </w:r>
    </w:p>
    <w:p w14:paraId="B0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4</w:t>
      </w:r>
      <w:r>
        <w:rPr>
          <w:rFonts w:ascii="Arial" w:hAnsi="Arial"/>
          <w:b w:val="1"/>
          <w:strike w:val="0"/>
          <w:color w:val="000000"/>
          <w:sz w:val="22"/>
          <w:highlight w:val="white"/>
        </w:rPr>
        <w:t xml:space="preserve">. </w:t>
      </w:r>
      <w:r>
        <w:rPr>
          <w:rFonts w:ascii="Arial" w:hAnsi="Arial"/>
          <w:strike w:val="0"/>
          <w:color w:val="000000"/>
          <w:sz w:val="22"/>
          <w:highlight w:val="white"/>
        </w:rPr>
        <w:t xml:space="preserve">В отношении товаров (работ), по которым в соответствии с условиями заключенного договора с покупателем предусмотрены обслуживание и ремонт в течение гарантийного срока, резервы на предстоящие расходы по гарантийному ремонту и гарантийному обслуживанию </w:t>
      </w:r>
    </w:p>
    <w:p w14:paraId="B1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создавать.</w:t>
      </w:r>
    </w:p>
    <w:p w14:paraId="B2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w:t>
      </w:r>
      <w:r>
        <w:rPr>
          <w:rFonts w:ascii="Arial" w:hAnsi="Arial"/>
          <w:i w:val="1"/>
          <w:strike w:val="0"/>
          <w:color w:val="000000"/>
          <w:sz w:val="22"/>
          <w:highlight w:val="white"/>
        </w:rPr>
        <w:t>е создавать.</w:t>
      </w:r>
    </w:p>
    <w:p w14:paraId="B3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5</w:t>
      </w:r>
      <w:r>
        <w:rPr>
          <w:rFonts w:ascii="Arial" w:hAnsi="Arial"/>
          <w:b w:val="1"/>
          <w:strike w:val="0"/>
          <w:color w:val="000000"/>
          <w:sz w:val="22"/>
          <w:highlight w:val="white"/>
        </w:rPr>
        <w:t xml:space="preserve">. </w:t>
      </w:r>
      <w:r>
        <w:rPr>
          <w:rFonts w:ascii="Arial" w:hAnsi="Arial"/>
          <w:strike w:val="0"/>
          <w:color w:val="000000"/>
          <w:sz w:val="22"/>
          <w:highlight w:val="white"/>
        </w:rPr>
        <w:t>Для проведения ремонта основных средств резерв предстоящих расходов на ремонт</w:t>
      </w:r>
    </w:p>
    <w:p w14:paraId="B4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создавать.</w:t>
      </w:r>
    </w:p>
    <w:p w14:paraId="B5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не создавать.</w:t>
      </w:r>
    </w:p>
    <w:p w14:paraId="B6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6</w:t>
      </w:r>
      <w:r>
        <w:rPr>
          <w:rFonts w:ascii="Arial" w:hAnsi="Arial"/>
          <w:b w:val="1"/>
          <w:strike w:val="0"/>
          <w:color w:val="000000"/>
          <w:sz w:val="22"/>
          <w:highlight w:val="white"/>
        </w:rPr>
        <w:t xml:space="preserve">. </w:t>
      </w:r>
      <w:r>
        <w:rPr>
          <w:rFonts w:ascii="Arial" w:hAnsi="Arial"/>
          <w:strike w:val="0"/>
          <w:color w:val="000000"/>
          <w:sz w:val="22"/>
          <w:highlight w:val="white"/>
        </w:rPr>
        <w:t>Резерв предстоящих расходов на оплату отпусков:</w:t>
      </w:r>
    </w:p>
    <w:p w14:paraId="B7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создавать.</w:t>
      </w:r>
    </w:p>
    <w:p w14:paraId="B8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не создавать.</w:t>
      </w:r>
    </w:p>
    <w:p w14:paraId="B9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7</w:t>
      </w:r>
      <w:r>
        <w:rPr>
          <w:rFonts w:ascii="Arial" w:hAnsi="Arial"/>
          <w:b w:val="1"/>
          <w:strike w:val="0"/>
          <w:color w:val="000000"/>
          <w:sz w:val="22"/>
          <w:highlight w:val="white"/>
        </w:rPr>
        <w:t xml:space="preserve">. </w:t>
      </w:r>
      <w:r>
        <w:rPr>
          <w:rFonts w:ascii="Arial" w:hAnsi="Arial"/>
          <w:strike w:val="0"/>
          <w:color w:val="000000"/>
          <w:sz w:val="22"/>
          <w:highlight w:val="white"/>
        </w:rPr>
        <w:t xml:space="preserve">Резерв предстоящих расходов на выплату ежегодных вознаграждений за выслугу лет и по итогам работы за год: </w:t>
      </w:r>
    </w:p>
    <w:p w14:paraId="BA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создавать.</w:t>
      </w:r>
    </w:p>
    <w:p w14:paraId="BB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не создавать.</w:t>
      </w:r>
    </w:p>
    <w:p w14:paraId="BC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8</w:t>
      </w:r>
      <w:r>
        <w:rPr>
          <w:rFonts w:ascii="Arial" w:hAnsi="Arial"/>
          <w:b w:val="1"/>
          <w:strike w:val="0"/>
          <w:color w:val="000000"/>
          <w:sz w:val="22"/>
          <w:highlight w:val="white"/>
        </w:rPr>
        <w:t xml:space="preserve">. </w:t>
      </w:r>
      <w:r>
        <w:rPr>
          <w:rFonts w:ascii="Arial" w:hAnsi="Arial"/>
          <w:strike w:val="0"/>
          <w:color w:val="000000"/>
          <w:sz w:val="22"/>
          <w:highlight w:val="white"/>
        </w:rPr>
        <w:t>Размер убытка от уступки права требования, которая была произведена третьему лицу до наступления предусмотренного договором о реализации товаров (работ, услуг) срока платежа, будет определяться исходя из</w:t>
      </w:r>
    </w:p>
    <w:p w14:paraId="BD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максимальной ставки процента, установленной для соответствующего вида валюты п. 1.2 ст. 269 НК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w:t>
      </w:r>
    </w:p>
    <w:p w14:paraId="BE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ставки процента, подтвержденной в соответствии с методами, установленными разд. V.1 НК по указанному долговому обязательству.</w:t>
      </w:r>
    </w:p>
    <w:p w14:paraId="BF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9</w:t>
      </w:r>
      <w:r>
        <w:rPr>
          <w:rFonts w:ascii="Arial" w:hAnsi="Arial"/>
          <w:b w:val="1"/>
          <w:strike w:val="0"/>
          <w:color w:val="000000"/>
          <w:sz w:val="22"/>
          <w:highlight w:val="white"/>
        </w:rPr>
        <w:t xml:space="preserve">. </w:t>
      </w:r>
      <w:r>
        <w:rPr>
          <w:rFonts w:ascii="Arial" w:hAnsi="Arial"/>
          <w:strike w:val="0"/>
          <w:color w:val="000000"/>
          <w:sz w:val="22"/>
          <w:highlight w:val="white"/>
        </w:rPr>
        <w:t>При обнаружении ошибок (искажений) в исчислении налоговой базы, относящихся к прошлым налоговым (отчетным) периодам, в текущем налоговом (отчетном) периоде, если допущенные ошибки (искажения) привели к излишней уплате налога, перерасчет налоговой базы и суммы налога производится за период, в котором были</w:t>
      </w:r>
    </w:p>
    <w:p w14:paraId="C0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совершены указанные ошибки (искажения).</w:t>
      </w:r>
    </w:p>
    <w:p w14:paraId="C1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выявлены указанные ошибки (искажения).</w:t>
      </w:r>
    </w:p>
    <w:p w14:paraId="C2000000">
      <w:pPr>
        <w:widowControl w:val="1"/>
        <w:spacing w:after="288" w:line="360" w:lineRule="auto"/>
        <w:ind/>
        <w:jc w:val="left"/>
        <w:rPr>
          <w:rFonts w:ascii="Arial" w:hAnsi="Arial"/>
          <w:i w:val="1"/>
          <w:strike w:val="0"/>
          <w:color w:val="000000"/>
          <w:sz w:val="22"/>
          <w:highlight w:val="white"/>
        </w:rPr>
      </w:pPr>
      <w:r>
        <w:rPr>
          <w:rFonts w:ascii="Arial" w:hAnsi="Arial"/>
          <w:b w:val="1"/>
          <w:strike w:val="0"/>
          <w:color w:val="000000"/>
          <w:sz w:val="22"/>
          <w:highlight w:val="white"/>
        </w:rPr>
        <w:t>4</w:t>
      </w:r>
      <w:r>
        <w:rPr>
          <w:rFonts w:ascii="Arial" w:hAnsi="Arial"/>
          <w:b w:val="1"/>
          <w:strike w:val="0"/>
          <w:color w:val="000000"/>
          <w:sz w:val="22"/>
          <w:highlight w:val="white"/>
        </w:rPr>
        <w:t xml:space="preserve">0. </w:t>
      </w:r>
      <w:r>
        <w:rPr>
          <w:rFonts w:ascii="Arial" w:hAnsi="Arial"/>
          <w:strike w:val="0"/>
          <w:color w:val="000000"/>
          <w:sz w:val="22"/>
          <w:highlight w:val="white"/>
        </w:rPr>
        <w:t xml:space="preserve">По нематериальным активам, указанным в подпунктах 1 - 3, 5, 6 абзаца третьего пункта 3 статьи 257 Налогового Кодекса, определять срок полезного использования: </w:t>
      </w:r>
    </w:p>
    <w:p w14:paraId="C3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в обычном порядке.</w:t>
      </w:r>
    </w:p>
    <w:p w14:paraId="C4000000">
      <w:pPr>
        <w:widowControl w:val="1"/>
        <w:spacing w:after="288" w:line="360" w:lineRule="auto"/>
        <w:ind/>
        <w:jc w:val="left"/>
        <w:rPr>
          <w:rFonts w:ascii="Arial" w:hAnsi="Arial"/>
          <w:i w:val="1"/>
          <w:strike w:val="0"/>
          <w:color w:val="000000"/>
          <w:sz w:val="22"/>
          <w:highlight w:val="white"/>
        </w:rPr>
      </w:pPr>
      <w:r>
        <w:rPr>
          <w:rFonts w:ascii="Arial" w:hAnsi="Arial"/>
          <w:i w:val="1"/>
          <w:strike w:val="0"/>
          <w:color w:val="000000"/>
          <w:sz w:val="22"/>
          <w:highlight w:val="white"/>
        </w:rPr>
        <w:t>самостоятельно (но не менее двух лет).</w:t>
      </w:r>
    </w:p>
    <w:p w14:paraId="C5000000">
      <w:pPr>
        <w:widowControl w:val="1"/>
        <w:spacing w:after="288" w:line="360" w:lineRule="auto"/>
        <w:ind/>
        <w:jc w:val="center"/>
        <w:rPr>
          <w:rFonts w:ascii="Arial" w:hAnsi="Arial"/>
          <w:b w:val="1"/>
          <w:strike w:val="0"/>
          <w:color w:val="000000"/>
          <w:sz w:val="28"/>
          <w:highlight w:val="white"/>
        </w:rPr>
      </w:pPr>
      <w:r>
        <w:rPr>
          <w:rFonts w:ascii="Georgia" w:hAnsi="Georgia"/>
          <w:b w:val="1"/>
          <w:strike w:val="0"/>
          <w:color w:val="000000"/>
          <w:sz w:val="28"/>
          <w:highlight w:val="white"/>
        </w:rPr>
        <w:t>Налог на имущество</w:t>
      </w:r>
    </w:p>
    <w:p w14:paraId="C6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41</w:t>
      </w:r>
      <w:r>
        <w:rPr>
          <w:rFonts w:ascii="Arial" w:hAnsi="Arial"/>
          <w:b w:val="1"/>
          <w:strike w:val="0"/>
          <w:color w:val="000000"/>
          <w:sz w:val="22"/>
          <w:highlight w:val="white"/>
        </w:rPr>
        <w:t xml:space="preserve">. </w:t>
      </w:r>
      <w:r>
        <w:rPr>
          <w:rFonts w:ascii="Arial" w:hAnsi="Arial"/>
          <w:strike w:val="0"/>
          <w:color w:val="000000"/>
          <w:sz w:val="22"/>
          <w:highlight w:val="white"/>
        </w:rPr>
        <w:t xml:space="preserve">Организация имеет несколько объектов недвижимости, по которым налог рассчитывается от среднегодовой стоимости, на территории одного региона и стоит на учете в нескольких налоговых органах. Декларация по налогу предоставляется </w:t>
      </w:r>
    </w:p>
    <w:p w14:paraId="C7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в одну налоговую инспекцию (указать номер инспекции согласно уведомлению) _________.</w:t>
      </w:r>
    </w:p>
    <w:p w14:paraId="C8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в каждую налоговую инспекцию по недвижимости, относящуюся к ней.</w:t>
      </w:r>
    </w:p>
    <w:p w14:paraId="C9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4</w:t>
      </w: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При обнаружении ошибок (искажений) в исчислении налоговой базы, относящихся к прошлым налоговым (отчетным) периодам, в текущем налоговом (отчетном) периоде, если допущенные ошибки (искажения) привели к излишней уплате налога, перерасчет налоговой базы и суммы налога производится за период, в котором были</w:t>
      </w:r>
    </w:p>
    <w:p w14:paraId="CA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совершены указанные ошибки (искажения).</w:t>
      </w:r>
    </w:p>
    <w:p w14:paraId="CB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выявлены указанные ошибки (искажения).</w:t>
      </w:r>
    </w:p>
    <w:p w14:paraId="CC000000">
      <w:pPr>
        <w:widowControl w:val="1"/>
        <w:spacing w:after="288" w:line="360" w:lineRule="auto"/>
        <w:ind/>
        <w:jc w:val="center"/>
        <w:rPr>
          <w:rFonts w:ascii="Arial" w:hAnsi="Arial"/>
          <w:b w:val="1"/>
          <w:strike w:val="0"/>
          <w:color w:val="000000"/>
          <w:sz w:val="28"/>
          <w:highlight w:val="white"/>
        </w:rPr>
      </w:pPr>
      <w:r>
        <w:rPr>
          <w:rFonts w:ascii="Georgia" w:hAnsi="Georgia"/>
          <w:b w:val="1"/>
          <w:strike w:val="0"/>
          <w:color w:val="000000"/>
          <w:sz w:val="28"/>
          <w:highlight w:val="white"/>
        </w:rPr>
        <w:t>Единый налог при упрощенной системе налогообложения</w:t>
      </w:r>
    </w:p>
    <w:p w14:paraId="CD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 xml:space="preserve">1. </w:t>
      </w:r>
      <w:r>
        <w:rPr>
          <w:rFonts w:ascii="Arial" w:hAnsi="Arial"/>
          <w:strike w:val="0"/>
          <w:color w:val="000000"/>
          <w:sz w:val="22"/>
          <w:highlight w:val="white"/>
        </w:rPr>
        <w:t>Осуществлять ведение книги учета доходов и расходов</w:t>
      </w:r>
    </w:p>
    <w:p w14:paraId="CE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в электронном виде с использованием компьютерной программы.</w:t>
      </w:r>
    </w:p>
    <w:p w14:paraId="CF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на бумажных носителях.</w:t>
      </w:r>
    </w:p>
    <w:p w14:paraId="D0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Расходы общего характера распределяются пропорционально доходам</w:t>
      </w:r>
    </w:p>
    <w:p w14:paraId="D1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нарастающим итогом.</w:t>
      </w:r>
    </w:p>
    <w:p w14:paraId="D2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иным способом (</w:t>
      </w:r>
      <w:r>
        <w:rPr>
          <w:rFonts w:ascii="Arial" w:hAnsi="Arial"/>
          <w:i w:val="1"/>
          <w:strike w:val="0"/>
          <w:color w:val="000000"/>
          <w:sz w:val="22"/>
          <w:highlight w:val="white"/>
        </w:rPr>
        <w:t>указать способ).</w:t>
      </w:r>
    </w:p>
    <w:p w14:paraId="D3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Внереализационные доходы общего характера распределяются пропорционально доходам от реализации</w:t>
      </w:r>
    </w:p>
    <w:p w14:paraId="D4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нарастающим итогом.</w:t>
      </w:r>
    </w:p>
    <w:p w14:paraId="D5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иным способом (</w:t>
      </w:r>
      <w:r>
        <w:rPr>
          <w:rFonts w:ascii="Arial" w:hAnsi="Arial"/>
          <w:i w:val="1"/>
          <w:strike w:val="0"/>
          <w:color w:val="000000"/>
          <w:sz w:val="22"/>
          <w:highlight w:val="white"/>
        </w:rPr>
        <w:t>указать способ).</w:t>
      </w:r>
    </w:p>
    <w:p w14:paraId="D6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не распределяются.</w:t>
      </w:r>
    </w:p>
    <w:p w14:paraId="D7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4</w:t>
      </w:r>
      <w:r>
        <w:rPr>
          <w:rFonts w:ascii="Arial" w:hAnsi="Arial"/>
          <w:b w:val="1"/>
          <w:strike w:val="0"/>
          <w:color w:val="000000"/>
          <w:sz w:val="22"/>
          <w:highlight w:val="white"/>
        </w:rPr>
        <w:t xml:space="preserve">. </w:t>
      </w:r>
      <w:r>
        <w:rPr>
          <w:rFonts w:ascii="Arial" w:hAnsi="Arial"/>
          <w:strike w:val="0"/>
          <w:color w:val="000000"/>
          <w:sz w:val="22"/>
          <w:highlight w:val="white"/>
        </w:rPr>
        <w:t>В целях распределения расходов общего характера и (или) внереализационных доходов сумма доходов определяется</w:t>
      </w:r>
    </w:p>
    <w:p w14:paraId="D8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на основании данных бухгалтерского учета.</w:t>
      </w:r>
    </w:p>
    <w:p w14:paraId="D9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кассовым методом.</w:t>
      </w:r>
    </w:p>
    <w:p w14:paraId="DA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5</w:t>
      </w:r>
      <w:r>
        <w:rPr>
          <w:rFonts w:ascii="Arial" w:hAnsi="Arial"/>
          <w:b w:val="1"/>
          <w:strike w:val="0"/>
          <w:color w:val="000000"/>
          <w:sz w:val="22"/>
          <w:highlight w:val="white"/>
        </w:rPr>
        <w:t xml:space="preserve">. </w:t>
      </w:r>
      <w:r>
        <w:rPr>
          <w:rFonts w:ascii="Arial" w:hAnsi="Arial"/>
          <w:strike w:val="0"/>
          <w:color w:val="000000"/>
          <w:sz w:val="22"/>
          <w:highlight w:val="white"/>
        </w:rPr>
        <w:t>Раздельный учет хозяйственных операций в части доходов с целью подтверждения основного вида экономической деятельности, предоставляющего право на применение пониженных тарифов страховых взносов в государственные внебюджетные фонды, осуществляется путем</w:t>
      </w:r>
    </w:p>
    <w:p w14:paraId="DB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ведения отдельных регистров налогового учета доходов по разным видам экономической деятельности.</w:t>
      </w:r>
    </w:p>
    <w:p w14:paraId="DC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 xml:space="preserve">иным способом </w:t>
      </w:r>
      <w:r>
        <w:rPr>
          <w:rFonts w:ascii="Arial" w:hAnsi="Arial"/>
          <w:i w:val="1"/>
          <w:strike w:val="0"/>
          <w:color w:val="000000"/>
          <w:sz w:val="22"/>
          <w:highlight w:val="white"/>
        </w:rPr>
        <w:t>(</w:t>
      </w:r>
      <w:r>
        <w:rPr>
          <w:rFonts w:ascii="Arial" w:hAnsi="Arial"/>
          <w:i w:val="1"/>
          <w:strike w:val="0"/>
          <w:color w:val="000000"/>
          <w:sz w:val="22"/>
          <w:highlight w:val="white"/>
        </w:rPr>
        <w:t>указать способ).</w:t>
      </w:r>
    </w:p>
    <w:p w14:paraId="DD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6</w:t>
      </w:r>
      <w:r>
        <w:rPr>
          <w:rFonts w:ascii="Arial" w:hAnsi="Arial"/>
          <w:b w:val="1"/>
          <w:strike w:val="0"/>
          <w:color w:val="000000"/>
          <w:sz w:val="22"/>
          <w:highlight w:val="white"/>
        </w:rPr>
        <w:t xml:space="preserve">. </w:t>
      </w:r>
      <w:r>
        <w:rPr>
          <w:rFonts w:ascii="Arial" w:hAnsi="Arial"/>
          <w:strike w:val="0"/>
          <w:color w:val="000000"/>
          <w:sz w:val="22"/>
          <w:highlight w:val="white"/>
        </w:rPr>
        <w:t>При реализации покупных товаров стоимость приобретения данных товаров списывается на расходы</w:t>
      </w:r>
    </w:p>
    <w:p w14:paraId="DE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по стоимости первых по времени приобретения (ФИФО).</w:t>
      </w:r>
    </w:p>
    <w:p w14:paraId="DF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по средней стоимости.</w:t>
      </w:r>
    </w:p>
    <w:p w14:paraId="E0000000">
      <w:pPr>
        <w:widowControl w:val="1"/>
        <w:spacing w:after="288" w:line="360" w:lineRule="auto"/>
        <w:ind/>
        <w:jc w:val="left"/>
        <w:rPr>
          <w:rFonts w:ascii="Arial" w:hAnsi="Arial"/>
          <w:b w:val="1"/>
          <w:strike w:val="0"/>
          <w:color w:val="000000"/>
          <w:sz w:val="28"/>
          <w:highlight w:val="white"/>
        </w:rPr>
      </w:pPr>
      <w:r>
        <w:rPr>
          <w:rFonts w:ascii="Arial" w:hAnsi="Arial"/>
          <w:i w:val="1"/>
          <w:strike w:val="0"/>
          <w:color w:val="000000"/>
          <w:sz w:val="22"/>
          <w:highlight w:val="white"/>
        </w:rPr>
        <w:t>по стоимости единицы товара.</w:t>
      </w:r>
    </w:p>
    <w:p w14:paraId="E1000000">
      <w:pPr>
        <w:widowControl w:val="1"/>
        <w:spacing w:after="288" w:line="360" w:lineRule="auto"/>
        <w:ind/>
        <w:jc w:val="left"/>
        <w:rPr>
          <w:rFonts w:ascii="Arial" w:hAnsi="Arial"/>
          <w:b w:val="0"/>
          <w:strike w:val="0"/>
          <w:color w:val="000000"/>
          <w:sz w:val="28"/>
          <w:highlight w:val="white"/>
        </w:rPr>
      </w:pPr>
      <w:r>
        <w:rPr>
          <w:rFonts w:ascii="Arial" w:hAnsi="Arial"/>
          <w:b w:val="0"/>
          <w:i w:val="1"/>
          <w:strike w:val="0"/>
          <w:color w:val="000000"/>
          <w:sz w:val="22"/>
          <w:highlight w:val="white"/>
        </w:rPr>
        <w:t xml:space="preserve">*Примечание. </w:t>
      </w:r>
      <w:r>
        <w:rPr>
          <w:rFonts w:ascii="Arial" w:hAnsi="Arial"/>
          <w:b w:val="0"/>
          <w:i w:val="1"/>
          <w:strike w:val="0"/>
          <w:color w:val="000000"/>
          <w:sz w:val="22"/>
          <w:highlight w:val="white"/>
        </w:rPr>
        <w:t>Для различных групп товаров в зависимости от их характеристик возможно применение различных методов списания их стоимости (Письмо Минфина России от 1 августа 2006 года № 03-03-04/1/616).</w:t>
      </w:r>
    </w:p>
    <w:p w14:paraId="E2000000">
      <w:pPr>
        <w:widowControl w:val="1"/>
        <w:spacing w:after="288" w:line="360" w:lineRule="auto"/>
        <w:ind/>
        <w:jc w:val="left"/>
        <w:rPr>
          <w:rFonts w:ascii="Arial" w:hAnsi="Arial"/>
          <w:b w:val="0"/>
          <w:strike w:val="0"/>
          <w:color w:val="000000"/>
          <w:sz w:val="28"/>
          <w:highlight w:val="white"/>
        </w:rPr>
      </w:pPr>
      <w:r>
        <w:rPr>
          <w:rFonts w:ascii="Arial" w:hAnsi="Arial"/>
          <w:b w:val="1"/>
          <w:strike w:val="0"/>
          <w:color w:val="000000"/>
          <w:sz w:val="22"/>
          <w:highlight w:val="white"/>
        </w:rPr>
        <w:t>7</w:t>
      </w:r>
      <w:r>
        <w:rPr>
          <w:rFonts w:ascii="Arial" w:hAnsi="Arial"/>
          <w:b w:val="1"/>
          <w:strike w:val="0"/>
          <w:color w:val="000000"/>
          <w:sz w:val="22"/>
          <w:highlight w:val="white"/>
        </w:rPr>
        <w:t xml:space="preserve">. </w:t>
      </w:r>
      <w:r>
        <w:rPr>
          <w:rFonts w:ascii="Arial" w:hAnsi="Arial"/>
          <w:strike w:val="0"/>
          <w:color w:val="000000"/>
          <w:sz w:val="22"/>
          <w:highlight w:val="white"/>
        </w:rPr>
        <w:t>При значительном ассортименте реализуемых товаров и большом количестве контрагентов стоимость оплаченных, но не реализованных на конец месяца товаров определять по методике</w:t>
      </w:r>
    </w:p>
    <w:p w14:paraId="E3000000">
      <w:pPr>
        <w:widowControl w:val="1"/>
        <w:spacing w:after="288" w:line="360" w:lineRule="auto"/>
        <w:ind/>
        <w:jc w:val="left"/>
        <w:rPr>
          <w:rFonts w:ascii="Arial" w:hAnsi="Arial"/>
          <w:b w:val="0"/>
          <w:strike w:val="0"/>
          <w:color w:val="000000"/>
          <w:sz w:val="28"/>
          <w:highlight w:val="white"/>
        </w:rPr>
      </w:pPr>
      <w:r>
        <w:rPr>
          <w:rFonts w:ascii="Arial" w:hAnsi="Arial"/>
          <w:i w:val="1"/>
          <w:strike w:val="0"/>
          <w:color w:val="000000"/>
          <w:sz w:val="22"/>
          <w:highlight w:val="white"/>
        </w:rPr>
        <w:t>предложенной Минфином России в Письме от 28.04.2006 № 03-11-04/2/94.</w:t>
      </w:r>
    </w:p>
    <w:p w14:paraId="E4000000">
      <w:pPr>
        <w:widowControl w:val="1"/>
        <w:spacing w:after="288" w:line="360" w:lineRule="auto"/>
        <w:ind/>
        <w:jc w:val="left"/>
        <w:rPr>
          <w:rFonts w:ascii="Arial" w:hAnsi="Arial"/>
          <w:b w:val="0"/>
          <w:strike w:val="0"/>
          <w:color w:val="000000"/>
          <w:sz w:val="28"/>
          <w:highlight w:val="white"/>
        </w:rPr>
      </w:pPr>
      <w:r>
        <w:rPr>
          <w:rFonts w:ascii="Arial" w:hAnsi="Arial"/>
          <w:i w:val="1"/>
          <w:strike w:val="0"/>
          <w:color w:val="000000"/>
          <w:sz w:val="22"/>
          <w:highlight w:val="white"/>
        </w:rPr>
        <w:t xml:space="preserve">иным способом </w:t>
      </w:r>
      <w:r>
        <w:rPr>
          <w:rFonts w:ascii="Arial" w:hAnsi="Arial"/>
          <w:i w:val="1"/>
          <w:strike w:val="0"/>
          <w:color w:val="000000"/>
          <w:sz w:val="22"/>
          <w:highlight w:val="white"/>
        </w:rPr>
        <w:t>(</w:t>
      </w:r>
      <w:r>
        <w:rPr>
          <w:rFonts w:ascii="Arial" w:hAnsi="Arial"/>
          <w:i w:val="1"/>
          <w:strike w:val="0"/>
          <w:color w:val="000000"/>
          <w:sz w:val="22"/>
          <w:highlight w:val="white"/>
        </w:rPr>
        <w:t>указать способ).</w:t>
      </w:r>
    </w:p>
    <w:p w14:paraId="E5000000">
      <w:pPr>
        <w:widowControl w:val="1"/>
        <w:spacing w:after="288" w:line="360" w:lineRule="auto"/>
        <w:ind/>
        <w:jc w:val="left"/>
        <w:rPr>
          <w:rFonts w:ascii="Arial" w:hAnsi="Arial"/>
          <w:b w:val="0"/>
          <w:strike w:val="0"/>
          <w:color w:val="000000"/>
          <w:sz w:val="28"/>
          <w:highlight w:val="white"/>
        </w:rPr>
      </w:pPr>
      <w:r>
        <w:rPr>
          <w:rFonts w:ascii="Arial" w:hAnsi="Arial"/>
          <w:b w:val="1"/>
          <w:strike w:val="0"/>
          <w:color w:val="000000"/>
          <w:sz w:val="22"/>
          <w:highlight w:val="white"/>
        </w:rPr>
        <w:t>8</w:t>
      </w:r>
      <w:r>
        <w:rPr>
          <w:rFonts w:ascii="Arial" w:hAnsi="Arial"/>
          <w:b w:val="1"/>
          <w:strike w:val="0"/>
          <w:color w:val="000000"/>
          <w:sz w:val="22"/>
          <w:highlight w:val="white"/>
        </w:rPr>
        <w:t xml:space="preserve">. </w:t>
      </w:r>
      <w:r>
        <w:rPr>
          <w:rFonts w:ascii="Arial" w:hAnsi="Arial"/>
          <w:strike w:val="0"/>
          <w:color w:val="000000"/>
          <w:sz w:val="22"/>
          <w:highlight w:val="white"/>
        </w:rPr>
        <w:t>При обнаружении ошибок (искажений) в исчислении налоговой базы, относящихся к прошлым налоговым (отчетным) периодам, в текущем налоговом (отчетном) периоде, если допущенные ошибки (искажения) привели к излишней уплате налога, перерасчет налоговой базы и суммы налога производится за период, в котором были</w:t>
      </w:r>
    </w:p>
    <w:p w14:paraId="E6000000">
      <w:pPr>
        <w:widowControl w:val="1"/>
        <w:spacing w:after="288" w:line="360" w:lineRule="auto"/>
        <w:ind/>
        <w:jc w:val="left"/>
        <w:rPr>
          <w:rFonts w:ascii="Arial" w:hAnsi="Arial"/>
          <w:b w:val="0"/>
          <w:strike w:val="0"/>
          <w:color w:val="000000"/>
          <w:sz w:val="28"/>
          <w:highlight w:val="white"/>
        </w:rPr>
      </w:pPr>
      <w:r>
        <w:rPr>
          <w:rFonts w:ascii="Arial" w:hAnsi="Arial"/>
          <w:i w:val="1"/>
          <w:strike w:val="0"/>
          <w:color w:val="000000"/>
          <w:sz w:val="22"/>
          <w:highlight w:val="white"/>
        </w:rPr>
        <w:t>совершены указанные ошибки (искажения).</w:t>
      </w:r>
    </w:p>
    <w:p w14:paraId="E7000000">
      <w:pPr>
        <w:widowControl w:val="1"/>
        <w:spacing w:after="288" w:line="360" w:lineRule="auto"/>
        <w:ind/>
        <w:jc w:val="left"/>
        <w:rPr>
          <w:rFonts w:ascii="Arial" w:hAnsi="Arial"/>
          <w:b w:val="0"/>
          <w:strike w:val="0"/>
          <w:color w:val="000000"/>
          <w:sz w:val="28"/>
          <w:highlight w:val="white"/>
        </w:rPr>
      </w:pPr>
      <w:r>
        <w:rPr>
          <w:rFonts w:ascii="Arial" w:hAnsi="Arial"/>
          <w:i w:val="1"/>
          <w:strike w:val="0"/>
          <w:color w:val="000000"/>
          <w:sz w:val="22"/>
          <w:highlight w:val="white"/>
        </w:rPr>
        <w:t>выявлены указанные ошибки (искажения).</w:t>
      </w:r>
    </w:p>
    <w:p w14:paraId="E8000000">
      <w:pPr>
        <w:widowControl w:val="1"/>
        <w:spacing w:after="288" w:line="360" w:lineRule="auto"/>
        <w:ind/>
        <w:jc w:val="center"/>
        <w:rPr>
          <w:rFonts w:ascii="Arial" w:hAnsi="Arial"/>
          <w:b w:val="1"/>
          <w:strike w:val="0"/>
          <w:color w:val="000000"/>
          <w:sz w:val="28"/>
          <w:highlight w:val="white"/>
        </w:rPr>
      </w:pPr>
      <w:r>
        <w:rPr>
          <w:rFonts w:ascii="Georgia" w:hAnsi="Georgia"/>
          <w:b w:val="1"/>
          <w:strike w:val="0"/>
          <w:color w:val="000000"/>
          <w:sz w:val="28"/>
          <w:highlight w:val="white"/>
        </w:rPr>
        <w:t>Налог на доходы физических лиц</w:t>
      </w:r>
    </w:p>
    <w:p w14:paraId="E9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 xml:space="preserve">1. </w:t>
      </w:r>
      <w:r>
        <w:rPr>
          <w:rFonts w:ascii="Arial" w:hAnsi="Arial"/>
          <w:strike w:val="0"/>
          <w:color w:val="000000"/>
          <w:sz w:val="22"/>
          <w:highlight w:val="white"/>
        </w:rPr>
        <w:t>Утвердить формы регистров налогового учета и порядок отражения в них аналитических данных налогового учета и данных первичных учетных документов (приложение №</w:t>
      </w:r>
      <w:r>
        <w:rPr>
          <w:rFonts w:ascii="Arial" w:hAnsi="Arial"/>
          <w:strike w:val="0"/>
          <w:color w:val="000000"/>
          <w:sz w:val="22"/>
          <w:highlight w:val="white"/>
        </w:rPr>
        <w:t xml:space="preserve"> ____</w:t>
      </w:r>
      <w:r>
        <w:rPr>
          <w:rFonts w:ascii="Arial" w:hAnsi="Arial"/>
          <w:strike w:val="0"/>
          <w:color w:val="000000"/>
          <w:sz w:val="22"/>
          <w:highlight w:val="white"/>
        </w:rPr>
        <w:t>).</w:t>
      </w:r>
    </w:p>
    <w:p w14:paraId="EA000000">
      <w:pPr>
        <w:widowControl w:val="1"/>
        <w:spacing w:after="288" w:line="360" w:lineRule="auto"/>
        <w:ind/>
        <w:jc w:val="left"/>
        <w:rPr>
          <w:rFonts w:ascii="Arial" w:hAnsi="Arial"/>
          <w:b w:val="1"/>
          <w:strike w:val="0"/>
          <w:color w:val="000000"/>
          <w:sz w:val="28"/>
          <w:highlight w:val="white"/>
        </w:rPr>
      </w:pPr>
      <w:r>
        <w:rPr>
          <w:rFonts w:ascii="Arial" w:hAnsi="Arial"/>
          <w:b w:val="1"/>
          <w:strike w:val="0"/>
          <w:color w:val="000000"/>
          <w:sz w:val="22"/>
          <w:highlight w:val="white"/>
        </w:rPr>
        <w:t>2</w:t>
      </w:r>
      <w:r>
        <w:rPr>
          <w:rFonts w:ascii="Arial" w:hAnsi="Arial"/>
          <w:b w:val="1"/>
          <w:strike w:val="0"/>
          <w:color w:val="000000"/>
          <w:sz w:val="22"/>
          <w:highlight w:val="white"/>
        </w:rPr>
        <w:t xml:space="preserve">. </w:t>
      </w:r>
      <w:r>
        <w:rPr>
          <w:rFonts w:ascii="Arial" w:hAnsi="Arial"/>
          <w:strike w:val="0"/>
          <w:color w:val="000000"/>
          <w:sz w:val="22"/>
          <w:highlight w:val="white"/>
        </w:rPr>
        <w:t>Предусмотреть возможность внесения уточнений и дополнений в учетную политику предприятия за 2024 год в связи с изменениями налогового законодательства либо появлением хозяйственных операций, отражение которых в налоговом учете предусмотрено несколькими методами, выбор которых возложен законодательством на предприятие, а также по иным причинам.</w:t>
      </w:r>
    </w:p>
    <w:p w14:paraId="EB000000">
      <w:pPr>
        <w:widowControl w:val="1"/>
        <w:pBdr>
          <w:top w:color="828282" w:space="0" w:sz="4" w:val="dotted"/>
        </w:pBdr>
        <w:spacing w:after="288" w:before="0" w:line="360" w:lineRule="auto"/>
        <w:ind w:left="0" w:right="0"/>
        <w:rPr>
          <w:rFonts w:ascii="Arial" w:hAnsi="Arial"/>
          <w:strike w:val="0"/>
          <w:color w:val="000000"/>
          <w:sz w:val="22"/>
          <w:highlight w:val="white"/>
        </w:rPr>
      </w:pPr>
      <w:r>
        <w:rPr>
          <w:rFonts w:ascii="Arial" w:hAnsi="Arial"/>
          <w:b w:val="1"/>
          <w:strike w:val="0"/>
          <w:color w:val="000000"/>
          <w:sz w:val="22"/>
          <w:highlight w:val="white"/>
        </w:rPr>
        <w:t>3</w:t>
      </w:r>
      <w:r>
        <w:rPr>
          <w:rFonts w:ascii="Arial" w:hAnsi="Arial"/>
          <w:b w:val="1"/>
          <w:strike w:val="0"/>
          <w:color w:val="000000"/>
          <w:sz w:val="22"/>
          <w:highlight w:val="white"/>
        </w:rPr>
        <w:t xml:space="preserve">. </w:t>
      </w:r>
      <w:r>
        <w:rPr>
          <w:rFonts w:ascii="Arial" w:hAnsi="Arial"/>
          <w:strike w:val="0"/>
          <w:color w:val="000000"/>
          <w:sz w:val="22"/>
          <w:highlight w:val="white"/>
        </w:rPr>
        <w:t>Ответственность за организацию ведения налогового учета на предприятии возложить на</w:t>
      </w:r>
      <w:r>
        <w:rPr>
          <w:rFonts w:ascii="Arial" w:hAnsi="Arial"/>
          <w:strike w:val="0"/>
          <w:color w:val="000000"/>
          <w:sz w:val="22"/>
          <w:highlight w:val="white"/>
        </w:rPr>
        <w:t xml:space="preserve"> </w:t>
      </w:r>
      <w:r>
        <w:rPr>
          <w:rFonts w:ascii="Arial" w:hAnsi="Arial"/>
          <w:b w:val="1"/>
          <w:strike w:val="0"/>
          <w:color w:val="000000"/>
          <w:sz w:val="22"/>
          <w:highlight w:val="white"/>
        </w:rPr>
        <w:t>________________.</w:t>
      </w:r>
      <w:r>
        <w:rPr>
          <w:rFonts w:ascii="Arial" w:hAnsi="Arial"/>
          <w:strike w:val="0"/>
          <w:color w:val="000000"/>
          <w:sz w:val="22"/>
          <w:highlight w:val="white"/>
        </w:rPr>
        <w:br/>
      </w:r>
      <w:r>
        <w:rPr>
          <w:rFonts w:ascii="Arial" w:hAnsi="Arial"/>
          <w:strike w:val="0"/>
          <w:color w:val="000000"/>
          <w:sz w:val="22"/>
          <w:highlight w:val="white"/>
        </w:rPr>
        <w:t>(Ф.И.О., должность)</w:t>
      </w:r>
      <w:r>
        <w:rPr>
          <w:rFonts w:ascii="Arial" w:hAnsi="Arial"/>
          <w:strike w:val="0"/>
          <w:color w:val="000000"/>
          <w:sz w:val="22"/>
          <w:highlight w:val="white"/>
        </w:rPr>
        <w:br/>
      </w:r>
    </w:p>
    <w:p w14:paraId="EC000000">
      <w:pPr>
        <w:widowControl w:val="1"/>
        <w:pBdr>
          <w:top w:color="828282" w:space="0" w:sz="4" w:val="dotted"/>
        </w:pBdr>
        <w:spacing w:after="288" w:before="0" w:line="360" w:lineRule="auto"/>
        <w:ind w:left="0" w:right="0"/>
        <w:rPr>
          <w:rFonts w:ascii="Arial" w:hAnsi="Arial"/>
          <w:strike w:val="0"/>
          <w:color w:val="000000"/>
          <w:sz w:val="22"/>
          <w:highlight w:val="white"/>
        </w:rPr>
      </w:pPr>
    </w:p>
    <w:p w14:paraId="ED000000">
      <w:pPr>
        <w:widowControl w:val="1"/>
        <w:pBdr>
          <w:top w:color="828282" w:space="0" w:sz="4" w:val="dotted"/>
        </w:pBdr>
        <w:spacing w:after="288" w:before="0" w:line="360" w:lineRule="auto"/>
        <w:ind w:left="0" w:right="0"/>
        <w:rPr>
          <w:rFonts w:ascii="Arial" w:hAnsi="Arial"/>
          <w:strike w:val="0"/>
          <w:color w:val="000000"/>
          <w:sz w:val="22"/>
          <w:highlight w:val="white"/>
        </w:rPr>
      </w:pPr>
      <w:r>
        <w:rPr>
          <w:rFonts w:ascii="Arial" w:hAnsi="Arial"/>
          <w:strike w:val="0"/>
          <w:color w:val="000000"/>
          <w:sz w:val="22"/>
          <w:highlight w:val="white"/>
        </w:rPr>
        <w:t>Руководитель</w:t>
      </w:r>
    </w:p>
    <w:p w14:paraId="EE000000">
      <w:pPr>
        <w:widowControl w:val="1"/>
        <w:pBdr>
          <w:top w:color="828282" w:space="0" w:sz="4" w:val="dotted"/>
        </w:pBdr>
        <w:spacing w:after="288" w:before="0" w:line="360" w:lineRule="auto"/>
        <w:ind w:left="0" w:right="0"/>
        <w:rPr>
          <w:strike w:val="0"/>
          <w:color w:val="000000"/>
          <w:highlight w:val="white"/>
        </w:rPr>
      </w:pPr>
      <w:r>
        <w:rPr>
          <w:rFonts w:ascii="Arial" w:hAnsi="Arial"/>
          <w:strike w:val="0"/>
          <w:color w:val="000000"/>
          <w:sz w:val="22"/>
          <w:highlight w:val="white"/>
        </w:rPr>
        <w:t xml:space="preserve">______________ </w:t>
      </w:r>
      <w:r>
        <w:rPr>
          <w:rFonts w:ascii="Arial" w:hAnsi="Arial"/>
          <w:strike w:val="0"/>
          <w:color w:val="000000"/>
          <w:sz w:val="22"/>
          <w:highlight w:val="white"/>
        </w:rPr>
        <w:t>«</w:t>
      </w:r>
      <w:r>
        <w:rPr>
          <w:rFonts w:ascii="Arial" w:hAnsi="Arial"/>
          <w:strike w:val="0"/>
          <w:color w:val="000000"/>
          <w:sz w:val="22"/>
          <w:highlight w:val="white"/>
        </w:rPr>
        <w:t>____________</w:t>
      </w:r>
      <w:r>
        <w:rPr>
          <w:rFonts w:ascii="Arial" w:hAnsi="Arial"/>
          <w:strike w:val="0"/>
          <w:color w:val="000000"/>
          <w:sz w:val="22"/>
          <w:highlight w:val="white"/>
        </w:rPr>
        <w:t>».</w:t>
      </w:r>
    </w:p>
    <w:sectPr>
      <w:type w:val="nextPage"/>
      <w:pgSz w:h="15840" w:orient="portrait" w:w="12240"/>
      <w:pgMar w:bottom="1440" w:footer="720" w:gutter="0" w:header="720" w:left="1440" w:right="1440" w:top="1440"/>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widowControl w:val="1"/>
        <w:ind w:hanging="360" w:left="720"/>
      </w:pPr>
      <w:rPr>
        <w:rFonts w:ascii="Symbol" w:hAnsi="Symbol"/>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Symbol" w:hAnsi="Symbol"/>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Symbol" w:hAnsi="Symbol"/>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endnotePr>
    <w:numFmt w:val="decimal"/>
  </w:endnotePr>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keepNext w:val="0"/>
      <w:keepLines w:val="0"/>
      <w:pageBreakBefore w:val="0"/>
      <w:widowControl w:val="1"/>
      <w:pBdr>
        <w:top w:sz="4" w:val="nil"/>
        <w:left w:sz="4" w:val="nil"/>
        <w:bottom w:sz="4" w:val="nil"/>
        <w:right w:sz="4" w:val="nil"/>
        <w:between w:sz="4" w:val="nil"/>
      </w:pBdr>
      <w:spacing w:after="160" w:before="0" w:line="264" w:lineRule="auto"/>
      <w:ind w:firstLine="0" w:left="0" w:right="0"/>
      <w:contextualSpacing w:val="0"/>
      <w:jc w:val="left"/>
      <w:outlineLvl w:val="8"/>
    </w:pPr>
    <w:rPr>
      <w:rFonts w:ascii="Calibri" w:hAnsi="Calibri"/>
      <w:b w:val="0"/>
      <w:i w:val="0"/>
      <w:caps w:val="0"/>
      <w:smallCaps w:val="0"/>
      <w:strike w:val="0"/>
      <w:color w:val="000000"/>
      <w:spacing w:val="0"/>
      <w:sz w:val="22"/>
      <w:u w:color="000000" w:val="none"/>
    </w:rPr>
  </w:style>
  <w:style w:default="1" w:styleId="Style_1_ch" w:type="character">
    <w:name w:val="Normal"/>
    <w:link w:val="Style_1"/>
    <w:rPr>
      <w:rFonts w:ascii="Calibri" w:hAnsi="Calibri"/>
      <w:b w:val="0"/>
      <w:i w:val="0"/>
      <w:caps w:val="0"/>
      <w:smallCaps w:val="0"/>
      <w:strike w:val="0"/>
      <w:color w:val="000000"/>
      <w:spacing w:val="0"/>
      <w:sz w:val="22"/>
      <w:u w:color="000000" w:val="none"/>
    </w:rPr>
  </w:style>
  <w:style w:styleId="Style_2" w:type="paragraph">
    <w:name w:val="Default Paragraph Font"/>
    <w:link w:val="Style_2_ch"/>
  </w:style>
  <w:style w:styleId="Style_2_ch" w:type="character">
    <w:name w:val="Default Paragraph Font"/>
    <w:link w:val="Style_2"/>
  </w:style>
  <w:style w:styleId="Style_3" w:type="paragraph">
    <w:name w:val="toc 2"/>
    <w:next w:val="Style_1"/>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1"/>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Line Number"/>
    <w:basedOn w:val="Style_2"/>
    <w:link w:val="Style_5_ch"/>
  </w:style>
  <w:style w:styleId="Style_5_ch" w:type="character">
    <w:name w:val="Line Number"/>
    <w:basedOn w:val="Style_2_ch"/>
    <w:link w:val="Style_5"/>
  </w:style>
  <w:style w:styleId="Style_6" w:type="paragraph">
    <w:name w:val="toc 6"/>
    <w:next w:val="Style_1"/>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1"/>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1"/>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Unresolved Mention1"/>
    <w:basedOn w:val="Style_2"/>
    <w:link w:val="Style_10_ch"/>
    <w:rPr>
      <w:color w:val="605E5C"/>
      <w:shd w:fill="E1DFDD" w:val="clear"/>
    </w:rPr>
  </w:style>
  <w:style w:styleId="Style_10_ch" w:type="character">
    <w:name w:val="Unresolved Mention1"/>
    <w:basedOn w:val="Style_2_ch"/>
    <w:link w:val="Style_10"/>
    <w:rPr>
      <w:color w:val="605E5C"/>
      <w:shd w:fill="E1DFDD" w:val="clear"/>
    </w:rPr>
  </w:style>
  <w:style w:styleId="Style_11" w:type="paragraph">
    <w:name w:val="toc 3"/>
    <w:next w:val="Style_1"/>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heading 5"/>
    <w:next w:val="Style_1"/>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1"/>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yperlink"/>
    <w:basedOn w:val="Style_2"/>
    <w:link w:val="Style_14_ch"/>
    <w:rPr>
      <w:color w:val="0563C1"/>
      <w:u w:color="000000" w:val="single"/>
    </w:rPr>
  </w:style>
  <w:style w:styleId="Style_14_ch" w:type="character">
    <w:name w:val="Hyperlink"/>
    <w:basedOn w:val="Style_2_ch"/>
    <w:link w:val="Style_14"/>
    <w:rPr>
      <w:color w:val="0563C1"/>
      <w:u w:color="000000" w:val="single"/>
    </w:rPr>
  </w:style>
  <w:style w:styleId="Style_15" w:type="paragraph">
    <w:name w:val="Footnote"/>
    <w:link w:val="Style_15_ch"/>
    <w:pPr>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1"/>
    <w:link w:val="Style_16_ch"/>
    <w:uiPriority w:val="39"/>
    <w:pPr>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7" w:type="paragraph">
    <w:name w:val="Header and Footer"/>
    <w:link w:val="Style_17_ch"/>
    <w:pPr>
      <w:spacing w:line="240" w:lineRule="auto"/>
      <w:ind/>
      <w:jc w:val="both"/>
    </w:pPr>
    <w:rPr>
      <w:rFonts w:ascii="XO Thames" w:hAnsi="XO Thames"/>
      <w:sz w:val="28"/>
    </w:rPr>
  </w:style>
  <w:style w:styleId="Style_17_ch" w:type="character">
    <w:name w:val="Header and Footer"/>
    <w:link w:val="Style_17"/>
    <w:rPr>
      <w:rFonts w:ascii="XO Thames" w:hAnsi="XO Thames"/>
      <w:sz w:val="28"/>
    </w:rPr>
  </w:style>
  <w:style w:styleId="Style_18" w:type="paragraph">
    <w:name w:val="toc 9"/>
    <w:next w:val="Style_1"/>
    <w:link w:val="Style_18_ch"/>
    <w:uiPriority w:val="39"/>
    <w:pPr>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Normal (Web)"/>
    <w:basedOn w:val="Style_1"/>
    <w:next w:val="Style_1"/>
    <w:link w:val="Style_19_ch"/>
    <w:pPr>
      <w:widowControl w:val="1"/>
      <w:spacing w:afterAutospacing="on" w:beforeAutospacing="on" w:line="240" w:lineRule="auto"/>
      <w:ind/>
    </w:pPr>
    <w:rPr>
      <w:rFonts w:ascii="Times New Roman" w:hAnsi="Times New Roman"/>
      <w:sz w:val="24"/>
    </w:rPr>
  </w:style>
  <w:style w:styleId="Style_19_ch" w:type="character">
    <w:name w:val="Normal (Web)"/>
    <w:basedOn w:val="Style_1_ch"/>
    <w:link w:val="Style_19"/>
    <w:rPr>
      <w:rFonts w:ascii="Times New Roman" w:hAnsi="Times New Roman"/>
      <w:sz w:val="24"/>
    </w:rPr>
  </w:style>
  <w:style w:styleId="Style_20" w:type="paragraph">
    <w:name w:val="toc 8"/>
    <w:next w:val="Style_1"/>
    <w:link w:val="Style_20_ch"/>
    <w:uiPriority w:val="39"/>
    <w:pPr>
      <w:ind w:firstLine="0" w:left="1400"/>
      <w:jc w:val="left"/>
    </w:pPr>
    <w:rPr>
      <w:rFonts w:ascii="XO Thames" w:hAnsi="XO Thames"/>
      <w:sz w:val="28"/>
    </w:rPr>
  </w:style>
  <w:style w:styleId="Style_20_ch" w:type="character">
    <w:name w:val="toc 8"/>
    <w:link w:val="Style_20"/>
    <w:rPr>
      <w:rFonts w:ascii="XO Thames" w:hAnsi="XO Thames"/>
      <w:sz w:val="28"/>
    </w:rPr>
  </w:style>
  <w:style w:styleId="Style_21" w:type="paragraph">
    <w:name w:val="toc 5"/>
    <w:next w:val="Style_1"/>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Subtitle"/>
    <w:next w:val="Style_1"/>
    <w:link w:val="Style_22_ch"/>
    <w:uiPriority w:val="11"/>
    <w:qFormat/>
    <w:pPr>
      <w:ind/>
      <w:jc w:val="both"/>
    </w:pPr>
    <w:rPr>
      <w:rFonts w:ascii="XO Thames" w:hAnsi="XO Thames"/>
      <w:i w:val="1"/>
      <w:sz w:val="24"/>
    </w:rPr>
  </w:style>
  <w:style w:styleId="Style_22_ch" w:type="character">
    <w:name w:val="Subtitle"/>
    <w:link w:val="Style_22"/>
    <w:rPr>
      <w:rFonts w:ascii="XO Thames" w:hAnsi="XO Thames"/>
      <w:i w:val="1"/>
      <w:sz w:val="24"/>
    </w:rPr>
  </w:style>
  <w:style w:styleId="Style_23" w:type="paragraph">
    <w:name w:val="Title"/>
    <w:next w:val="Style_1"/>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1"/>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1"/>
    <w:link w:val="Style_25_ch"/>
    <w:uiPriority w:val="9"/>
    <w:qFormat/>
    <w:pPr>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styleId="Style_26" w:type="table">
    <w:name w:val="Table Simple 1"/>
    <w:basedOn w:val="Style_27"/>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left w:type="dxa" w:w="108"/>
        <w:right w:type="dxa" w:w="108"/>
      </w:tblCellMar>
    </w:tblPr>
  </w:style>
  <w:style w:styleId="Style_2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2025-03-12T09:12:21Z</dcterms:created>
  <dcterms:modified xsi:type="dcterms:W3CDTF">2025-03-12T09:59:57Z</dcterms:modified>
</cp:coreProperties>
</file>