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heading=h.9wi9u78pn51w" w:id="0"/>
      <w:bookmarkEnd w:id="0"/>
      <w:r w:rsidDel="00000000" w:rsidR="00000000" w:rsidRPr="00000000">
        <w:rPr>
          <w:rtl w:val="0"/>
        </w:rPr>
        <w:t xml:space="preserve">МРОТ в регионах 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Минимальная заработная плата региона не может быть меньше величины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федерального МРОТ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 эту величину начисляют районный коэффициент и процентную надбавку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постановление Конституционного суда от 07.12.2017 № 38-П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Кроме того, при проверке МРОТ не учитывайте доплаты за сверхурочную работу, за работу в выходные и праздники, если сотрудник работал за пределами нормальной продолжительности рабочего времени. Доплаты за совмещение должностей, увеличение объема работ, расширение зоны обслуживания в расчет также не включайте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постановление Конституционного суда от 11.04.2019 № 17-п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письмо Минтруда от 04.09.2018 № 14-1/ООГ-7353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088"/>
        <w:gridCol w:w="1166"/>
        <w:gridCol w:w="6085"/>
        <w:tblGridChange w:id="0">
          <w:tblGrid>
            <w:gridCol w:w="2088"/>
            <w:gridCol w:w="1166"/>
            <w:gridCol w:w="608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региона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Минимальная заработная плата (руб.)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Величина прожиточного минимума трудоспособного населения в месяц в Калужской области, но не ниже федерального МРОТ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1,2 величины прожиточного минимума трудоспособного населения в Липецкой области, но не ниже федерального МРОТ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Величина прожиточного минимума трудоспособного населения города Москвы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24 801)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районные коэффициенты и процентные надбавки за стаж работы в отдельных районах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 за стаж работы в районах и местностях с особыми климатическими условиями,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Величина прожиточного минимума трудоспособного населения в Новгородской области в месяц, но не ниже федерального МРОТ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Величина прожиточного минимума трудоспособного населения в целом по Российской Федерации, но не ниже федерального  МРОТ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 коэффициенты и процентные надбавки, которые действуют на территории Республики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Республики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23 500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Севастополь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внебюджетной сферы — в размере величины прожиточного минимума трудоспособного населения Республики на соответствующий год, но не ниже федерального МРОТ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 — Алания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 величины прожиточного минимума трудоспособного населения в Ставропольском крае на соответствующий год, но не ниже федерального МРОТ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начисляется районный коэффициент за стаж работы в районах и местностях с особыми климатическими условиями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начисляется районный коэффициент за стаж работы в районах и местностях с особыми климатическими условиями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начисляется районный коэффициент, который действует в Республике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На эту сумму начисляется районный коэффициент 1,15, который действует в Республике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На эту сумму начисляется районный коэффициент за стаж работы в районах и местностях с особыми климатическими условиями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 коэффициенты за стаж работы в районах и местностях с особыми климатическими условиями, которые действуют на территории 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Тюменская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районный коэффициент и процентная надбавка за стаж работы в районах и местностях с особыми климатическими условиями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Ханты-Мансийский автономный округ — Югра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районные коэффициенты и процентные надбавки за стаж работы в районах Крайнего Севера и приравненных к ним местностях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начисляется районный коэффициент 1,15, который действует в Челябинской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Ямало-Ненецкий автономный округ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районные коэффициенты и процентные надбавки за стаж работы в районах Крайнего Севера и приравненных к ним местностях. Итоговая сумма МЗП должна быть не ниже величины прожиточного минимума трудоспособного населения в Ямало-Ненецком автономном округе установленного на текущий год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 районные коэффициенты и процентные надбавки за стаж работы в районах Крайнего Севера и приравненных к ним местностях,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Кемеровская область — Кузбасс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Полуторакратная величина прожиточного минимума трудоспособного населения Кемеровской области на текущий год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начисляется районный коэффициент 1,3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районные коэффициенты и процентные надбавки за стаж работы в отдельных районах края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начисляется районный коэффициент 1,25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начисляется районный коэффициент 1,15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 в районах и местностях с особыми климатическими условиями, которые действуют на территории Республики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На эту сумму начисляются районный коэффициент и процентная надбавка за стаж работы в районах и местностях с особыми климатическими условиями, которые действуют на территории Республики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и местностях с особыми климатическими условиями,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районные коэффициенты и процентные надбавки за стаж работы в районах Крайнего Севера, которые действуют на территории края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 эту сумму начисляются районный коэффициент – 1,7 и процентные надбавки за стаж работы в районах Крайнего Севера,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которые действуют на территории Республики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 применением сверх МРОТ компенсационных выплат за работу в районах Крайнего Севера: районного коэффициента и процентных надбавок, но не ниже величины прожиточного минимума для трудоспособного населения в целом по Республике на текущий год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которые действуют на территории области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эту сумму начисляются районный коэффициент и процентные надбавки за стаж работы в районах Крайнего Севера, которые действуют на территории округа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pStyle w:val="Heading3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Субъекты, вошедшие в состав РФ в 2022 году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Донецкая Народная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80 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Луганская народная республика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 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Запорожская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 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Херсонская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 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19 242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B4081"/>
    <w:pPr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CB408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3">
    <w:name w:val="heading 3"/>
    <w:basedOn w:val="a"/>
    <w:link w:val="30"/>
    <w:uiPriority w:val="9"/>
    <w:qFormat w:val="1"/>
    <w:rsid w:val="00CB4081"/>
    <w:pPr>
      <w:spacing w:after="100" w:afterAutospacing="1" w:before="100" w:beforeAutospacing="1"/>
      <w:outlineLvl w:val="2"/>
    </w:pPr>
    <w:rPr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CB4081"/>
    <w:rPr>
      <w:rFonts w:ascii="Times New Roman" w:cs="Times New Roman" w:hAnsi="Times New Roman" w:eastAsiaTheme="minorEastAsia"/>
      <w:b w:val="1"/>
      <w:bCs w:val="1"/>
      <w:sz w:val="28"/>
      <w:szCs w:val="28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CB4081"/>
    <w:rPr>
      <w:color w:val="0000ff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CB4081"/>
    <w:pPr>
      <w:spacing w:after="100" w:afterAutospacing="1" w:before="100" w:beforeAutospacing="1"/>
    </w:pPr>
  </w:style>
  <w:style w:type="character" w:styleId="a5">
    <w:name w:val="Strong"/>
    <w:basedOn w:val="a0"/>
    <w:uiPriority w:val="22"/>
    <w:qFormat w:val="1"/>
    <w:rsid w:val="00CB4081"/>
    <w:rPr>
      <w:b w:val="1"/>
      <w:bCs w:val="1"/>
    </w:rPr>
  </w:style>
  <w:style w:type="character" w:styleId="20" w:customStyle="1">
    <w:name w:val="Заголовок 2 Знак"/>
    <w:basedOn w:val="a0"/>
    <w:link w:val="2"/>
    <w:uiPriority w:val="9"/>
    <w:semiHidden w:val="1"/>
    <w:rsid w:val="00CB4081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sn.1gl.ru/#/document/97/453980/" TargetMode="External"/><Relationship Id="rId9" Type="http://schemas.openxmlformats.org/officeDocument/2006/relationships/hyperlink" Target="https://usn.1gl.ru/#/document/96/55420738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n.1gl.ru/#/document/16/122532/" TargetMode="External"/><Relationship Id="rId8" Type="http://schemas.openxmlformats.org/officeDocument/2006/relationships/hyperlink" Target="https://usn.1gl.ru/#/document/96/5559038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SeGuRobJ29LYOp/peAx0HHJA2Q==">CgMxLjAyDmguOXdpOXU3OHBuNTF3OAByITFubmJWSjJFRkR6Q1dWSVV3NktoMnpTc0JyQ2hYSjdfdg==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2023-03-24T14:45:00Z</dcterms:created>
  <dc:creator>Горелкин Александр Юрьевич</dc:creator>
</cp:coreProperties>
</file>