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 с ограниченной ответственностью «Альфа»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Пояснения к бухгалтерскому балансу на </w:t>
      </w:r>
      <w:r>
        <w:rPr>
          <w:rFonts w:hAnsi="Times New Roman" w:cs="Times New Roman"/>
          <w:color w:val="000000"/>
          <w:sz w:val="24"/>
          <w:szCs w:val="24"/>
        </w:rPr>
        <w:t>31.12.2023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 и отчету о финансовых результатах за </w:t>
      </w:r>
      <w:r>
        <w:rPr>
          <w:rFonts w:hAnsi="Times New Roman" w:cs="Times New Roman"/>
          <w:color w:val="000000"/>
          <w:sz w:val="24"/>
          <w:szCs w:val="24"/>
        </w:rPr>
        <w:t>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год в текстовой форме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Краткая характеристика деятельности организации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Сокращенное наименование – </w:t>
      </w:r>
      <w:r>
        <w:rPr>
          <w:rFonts w:hAnsi="Times New Roman" w:cs="Times New Roman"/>
          <w:color w:val="000000"/>
          <w:sz w:val="24"/>
          <w:szCs w:val="24"/>
        </w:rPr>
        <w:t>ООО «Альфа»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Юридический адрес – </w:t>
      </w:r>
      <w:r>
        <w:rPr>
          <w:rFonts w:hAnsi="Times New Roman" w:cs="Times New Roman"/>
          <w:color w:val="000000"/>
          <w:sz w:val="24"/>
          <w:szCs w:val="24"/>
        </w:rPr>
        <w:t>125008, г. Москва, ул. Михалковская, д. 21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Дата государственной регистрации – </w:t>
      </w:r>
      <w:r>
        <w:rPr>
          <w:rFonts w:hAnsi="Times New Roman" w:cs="Times New Roman"/>
          <w:color w:val="000000"/>
          <w:sz w:val="24"/>
          <w:szCs w:val="24"/>
        </w:rPr>
        <w:t>15.03.2015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 Численность сотрудников, включая обособленные подразделения, по состоянию на 31.12.</w:t>
      </w:r>
      <w:r>
        <w:rPr>
          <w:rFonts w:hAnsi="Times New Roman" w:cs="Times New Roman"/>
          <w:color w:val="000000"/>
          <w:sz w:val="24"/>
          <w:szCs w:val="24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 xml:space="preserve"> составляет </w:t>
      </w:r>
      <w:r>
        <w:rPr>
          <w:rFonts w:hAnsi="Times New Roman" w:cs="Times New Roman"/>
          <w:color w:val="000000"/>
          <w:sz w:val="24"/>
          <w:szCs w:val="24"/>
        </w:rPr>
        <w:t>208</w:t>
      </w:r>
      <w:r>
        <w:rPr>
          <w:rFonts w:hAnsi="Times New Roman" w:cs="Times New Roman"/>
          <w:color w:val="000000"/>
          <w:sz w:val="24"/>
          <w:szCs w:val="24"/>
        </w:rPr>
        <w:t> человек, в том числе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подразделения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 человек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Производственный отдел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160 человек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Логистический отдел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28 человек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Пенсионеров и предпенсионеров в компании 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 Наличие обособленных подразделений, в том числе филиалов и представительств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 нахождения/регистрации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Филиал «Северный»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Ярославская обл.,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г. Ростов,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ул. Луначарского,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д. 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188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1.7. Уставный капитал составляет </w:t>
      </w:r>
      <w:r>
        <w:rPr>
          <w:rFonts w:hAnsi="Times New Roman" w:cs="Times New Roman"/>
          <w:color w:val="000000"/>
          <w:sz w:val="24"/>
          <w:szCs w:val="24"/>
        </w:rPr>
        <w:t>1 000 000</w:t>
      </w:r>
      <w:r>
        <w:rPr>
          <w:rFonts w:hAnsi="Times New Roman" w:cs="Times New Roman"/>
          <w:color w:val="000000"/>
          <w:sz w:val="24"/>
          <w:szCs w:val="24"/>
        </w:rPr>
        <w:t> руб. Участниками являются: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А.С. Кондратьев</w:t>
      </w:r>
      <w:r>
        <w:rPr>
          <w:rFonts w:hAnsi="Times New Roman" w:cs="Times New Roman"/>
          <w:color w:val="000000"/>
          <w:sz w:val="24"/>
          <w:szCs w:val="24"/>
        </w:rPr>
        <w:t xml:space="preserve"> с долей </w:t>
      </w:r>
      <w:r>
        <w:rPr>
          <w:rFonts w:hAnsi="Times New Roman" w:cs="Times New Roman"/>
          <w:color w:val="000000"/>
          <w:sz w:val="24"/>
          <w:szCs w:val="24"/>
        </w:rPr>
        <w:t>45</w:t>
      </w:r>
      <w:r>
        <w:rPr>
          <w:rFonts w:hAnsi="Times New Roman" w:cs="Times New Roman"/>
          <w:color w:val="000000"/>
          <w:sz w:val="24"/>
          <w:szCs w:val="24"/>
        </w:rPr>
        <w:t> процентов;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В.К. Волков</w:t>
      </w:r>
      <w:r>
        <w:rPr>
          <w:rFonts w:hAnsi="Times New Roman" w:cs="Times New Roman"/>
          <w:color w:val="000000"/>
          <w:sz w:val="24"/>
          <w:szCs w:val="24"/>
        </w:rPr>
        <w:t xml:space="preserve"> с долей </w:t>
      </w:r>
      <w:r>
        <w:rPr>
          <w:rFonts w:hAnsi="Times New Roman" w:cs="Times New Roman"/>
          <w:color w:val="000000"/>
          <w:sz w:val="24"/>
          <w:szCs w:val="24"/>
        </w:rPr>
        <w:t>35</w:t>
      </w:r>
      <w:r>
        <w:rPr>
          <w:rFonts w:hAnsi="Times New Roman" w:cs="Times New Roman"/>
          <w:color w:val="000000"/>
          <w:sz w:val="24"/>
          <w:szCs w:val="24"/>
        </w:rPr>
        <w:t> процентов;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А.В. Львов</w:t>
      </w:r>
      <w:r>
        <w:rPr>
          <w:rFonts w:hAnsi="Times New Roman" w:cs="Times New Roman"/>
          <w:color w:val="000000"/>
          <w:sz w:val="24"/>
          <w:szCs w:val="24"/>
        </w:rPr>
        <w:t xml:space="preserve"> с долей 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процентов.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1.8. Перечень видов деятельности, из них обычных видов деятельности: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производство чулочно-носочных изделий;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1.10. Сведения о руководстве и главном бухгалтере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Генеральный директор Общества: </w:t>
      </w:r>
      <w:r>
        <w:rPr>
          <w:rFonts w:hAnsi="Times New Roman" w:cs="Times New Roman"/>
          <w:color w:val="000000"/>
          <w:sz w:val="24"/>
          <w:szCs w:val="24"/>
        </w:rPr>
        <w:t>А.В. Львов (приказ № 1 от 26.02.2020).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Главный бухгалтер Общества: </w:t>
      </w:r>
      <w:r>
        <w:rPr>
          <w:rFonts w:hAnsi="Times New Roman" w:cs="Times New Roman"/>
          <w:color w:val="000000"/>
          <w:sz w:val="24"/>
          <w:szCs w:val="24"/>
        </w:rPr>
        <w:t>И.С. Игнатьева (приказ № 23 от 115.05.2023).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Кадровый учет и расчет оплаты труда передан на обслуживание в специализированную организацию ООО «Счетовод-эксперт» по договору № Б-с-145 от 11.07.2023.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1.11. Аудит бухгалтерской отчетности Общества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Общество подлежит обязательному аудиту </w:t>
      </w:r>
      <w:r>
        <w:rPr>
          <w:rFonts w:hAnsi="Times New Roman" w:cs="Times New Roman"/>
          <w:color w:val="000000"/>
          <w:sz w:val="24"/>
          <w:szCs w:val="24"/>
        </w:rPr>
        <w:t xml:space="preserve">не по финансовому критерию, а по другим основаниям. В частности, компания входит в холдинг, материнская компания которой имеет форму ПАО, которая подлежит обязательному аудиту. По решению совета директоров АО «АльфаГрупп» все компании группы также подлежат аудиту.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Бухгалтерская (финансовая) отчетность Общества аудируется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первый год. За прошлый, </w:t>
      </w:r>
      <w:r>
        <w:rPr>
          <w:rFonts w:hAnsi="Times New Roman" w:cs="Times New Roman"/>
          <w:color w:val="000000"/>
          <w:sz w:val="24"/>
          <w:szCs w:val="24"/>
        </w:rPr>
        <w:t>2022</w:t>
      </w:r>
      <w:r>
        <w:rPr>
          <w:rFonts w:hAnsi="Times New Roman" w:cs="Times New Roman"/>
          <w:color w:val="000000"/>
          <w:sz w:val="24"/>
          <w:szCs w:val="24"/>
        </w:rPr>
        <w:t xml:space="preserve"> год, Обществу было выданы </w:t>
      </w:r>
      <w:r>
        <w:rPr>
          <w:rFonts w:hAnsi="Times New Roman" w:cs="Times New Roman"/>
          <w:color w:val="000000"/>
          <w:sz w:val="24"/>
          <w:szCs w:val="24"/>
        </w:rPr>
        <w:t>немодифицированное</w:t>
      </w:r>
      <w:r>
        <w:rPr>
          <w:rFonts w:hAnsi="Times New Roman" w:cs="Times New Roman"/>
          <w:color w:val="000000"/>
          <w:sz w:val="24"/>
          <w:szCs w:val="24"/>
        </w:rPr>
        <w:t xml:space="preserve"> аудиторское заключение</w:t>
      </w:r>
      <w:r>
        <w:rPr>
          <w:rFonts w:hAnsi="Times New Roman" w:cs="Times New Roman"/>
          <w:color w:val="000000"/>
          <w:sz w:val="24"/>
          <w:szCs w:val="24"/>
        </w:rPr>
        <w:t>. Соответственно, корректировки по итогам аудита в учет и отчетность ретроспективно не вносились.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 отчетный год аудитором Общества утверждена </w:t>
      </w:r>
      <w:r>
        <w:rPr>
          <w:rFonts w:hAnsi="Times New Roman" w:cs="Times New Roman"/>
          <w:color w:val="000000"/>
          <w:sz w:val="24"/>
          <w:szCs w:val="24"/>
        </w:rPr>
        <w:t xml:space="preserve">аудиторская фирма ООО «Аудит» (протокол общего собрания участников Общества № 1 от 30 марта 2023 года). Договор заключен на проведение аудита бухгалтерской (финансовой) отчетности за 2023 год – 15.05.2023.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Учетная политика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В отчетном периоде в учетной политике </w:t>
      </w:r>
      <w:r>
        <w:rPr>
          <w:rFonts w:hAnsi="Times New Roman" w:cs="Times New Roman"/>
          <w:color w:val="000000"/>
          <w:sz w:val="24"/>
          <w:szCs w:val="24"/>
        </w:rPr>
        <w:t>произошли изменения по учету НМА в связи с введением в действие ФСБУ 14/2022. С 2024 года стандарт обязательный к применению. Общество перешло на новые правила досрочно в 2023 году по упрощенной ретроспективе согласно пункту 53 ФСБУ 14/2022. Лимит по НМА установлен не менее 100 000 руб.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 прошлом периоде (в 2022 году) Общество учло в учетной политике изменения учета и отражения основных средств, капвложений и договоров аренды в связи с обязательным введением в действие ФСБУ 6, 26/2020, ФСБУ 25/2018. На данные стандарты компания перешла ретроспективно с пересчетом всех сравнительных показателей в 2022 году.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Стандарты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по которым составлена отчетность, и база оценок показателей отчетности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Отчетность составлена в соответствии с </w:t>
      </w:r>
      <w:r>
        <w:rPr>
          <w:rFonts w:hAnsi="Times New Roman" w:cs="Times New Roman"/>
          <w:color w:val="000000"/>
          <w:sz w:val="24"/>
          <w:szCs w:val="24"/>
        </w:rPr>
        <w:t>РСБУ – Российскими стандартами бухгалтерского учета. Это ныне действующие ФСБУ и ПБУ.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Данная </w:t>
      </w:r>
      <w:r>
        <w:rPr>
          <w:rFonts w:hAnsi="Times New Roman" w:cs="Times New Roman"/>
          <w:color w:val="000000"/>
          <w:sz w:val="24"/>
          <w:szCs w:val="24"/>
        </w:rPr>
        <w:t>бухгалтерская (финансовая)</w:t>
      </w:r>
      <w:r>
        <w:rPr>
          <w:rFonts w:hAnsi="Times New Roman" w:cs="Times New Roman"/>
          <w:color w:val="000000"/>
          <w:sz w:val="24"/>
          <w:szCs w:val="24"/>
        </w:rPr>
        <w:t xml:space="preserve"> отчетность подготовлена на основе </w:t>
      </w:r>
      <w:r>
        <w:rPr>
          <w:rFonts w:hAnsi="Times New Roman" w:cs="Times New Roman"/>
          <w:color w:val="000000"/>
          <w:sz w:val="24"/>
          <w:szCs w:val="24"/>
        </w:rPr>
        <w:t>исторической и первоначальной стоимости, за исключением активов и обязательств, которые учитываются по справедливой стоимости и чистой стоимости продажи в силу норм стандартов бухучета и отчетности или выбора учетной политики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Аренда и ее признание в учете, отражение в отчетности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Общество арендует производственное помещение по договору долгосрочной аренды № 23 от 31.12.2019 без права выкупа. Ввиду того что у Общества нет права на упрощенные способы ведения учета и составления отчетности, данный договор учитывается по правилам ФСБУ 25/2018 с признанием ППА – права пользования активом и обязательством по аренде.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Общество перешло на ФСБУ 25/2018 ретроспективно по данному договору. Сформировано ППА – право пользования активом, отражен актив в составе основных средств, в балансе по строке 1150 и в подстроке к ней обособленно. Также сформировано обязательство по аренде в долгосрочной и краткосрочной части. Начисление амортизации ППА, процентов с обязательства, уплата арендных платежей раскрыто обособленно в табличной форме в пояснениях к балансу – в пунктах 9.1 и 9.2 табличных пояснений.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Раскрытие информации о влиянии на показатель нераспределенной прибыли эффекта перехода на ФСБУ 25/2018 ретроспективно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 отчетности за отчетный период – на 31 декабря 2022 года и 31 декабря 2021 года нераспределенная прибыль содержит ретроспективные корректировки. </w:t>
      </w:r>
      <w:r>
        <w:rPr>
          <w:rFonts w:hAnsi="Times New Roman" w:cs="Times New Roman"/>
          <w:color w:val="000000"/>
          <w:sz w:val="24"/>
          <w:szCs w:val="24"/>
        </w:rPr>
        <w:t xml:space="preserve">В 2022 году согласно пункту 49 ФСБУ 25/2018 компания перешла на новые правила ретроспективно с пересчетом сравнительных показателей в отчетности. В результате пересчета показатель нераспределенной прибыль (непокрытого убытка) был скорректирован.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Нераспределенная прибыль на 31 декабря 2022 года составила 12 461 тыс. руб. Из них: 55 тыс. руб. – убыток в виде суммы корректировки по ФСБУ 25/2018, 12 130 тыс. руб. – заработанная прибыль 2022 года, которая отражена в ОФР за 2023 год по строке 2400 «Чистая прибыль (убыток)» в графе «За 2022 год», </w:t>
      </w:r>
      <w:r>
        <w:rPr>
          <w:rFonts w:hAnsi="Times New Roman" w:cs="Times New Roman"/>
          <w:color w:val="000000"/>
          <w:sz w:val="24"/>
          <w:szCs w:val="24"/>
        </w:rPr>
        <w:t>оставшаяся сумма –корректировки по переходу на другие ФСБУ.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Нераспределенная прибыль на 31 декабря 2021 года составила 2946 тыс. руб. Из них: 584 тыс. руб. – корректировка по ФСБУ 25/2018, 1291 тыс. руб. – сумма корректировок по переходу на другие ФСБУ и 1071 тыс. руб. – заработанная прибыль 2021 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Основные средства, капитальные вложения в основные средства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составе основных средств по строке 1150 «Основные средства» баланса числятся</w:t>
      </w:r>
      <w:r>
        <w:rPr>
          <w:rFonts w:hAnsi="Times New Roman" w:cs="Times New Roman"/>
          <w:color w:val="000000"/>
          <w:sz w:val="24"/>
          <w:szCs w:val="24"/>
        </w:rPr>
        <w:t xml:space="preserve"> машины и оборудование, а также незавершенное строительство здания котельной. </w:t>
      </w:r>
      <w:r>
        <w:rPr>
          <w:rFonts w:hAnsi="Times New Roman" w:cs="Times New Roman"/>
          <w:color w:val="000000"/>
          <w:sz w:val="24"/>
          <w:szCs w:val="24"/>
        </w:rPr>
        <w:t>Общество</w:t>
      </w:r>
      <w:r>
        <w:rPr>
          <w:rFonts w:hAnsi="Times New Roman" w:cs="Times New Roman"/>
          <w:color w:val="000000"/>
          <w:sz w:val="24"/>
          <w:szCs w:val="24"/>
        </w:rPr>
        <w:t xml:space="preserve"> ретроспективно </w:t>
      </w:r>
      <w:r>
        <w:rPr>
          <w:rFonts w:hAnsi="Times New Roman" w:cs="Times New Roman"/>
          <w:color w:val="000000"/>
          <w:sz w:val="24"/>
          <w:szCs w:val="24"/>
        </w:rPr>
        <w:t>перешло на ФСБУ 6, 26/2020 в 2022 году</w:t>
      </w:r>
      <w:r>
        <w:rPr>
          <w:rFonts w:hAnsi="Times New Roman" w:cs="Times New Roman"/>
          <w:color w:val="000000"/>
          <w:sz w:val="24"/>
          <w:szCs w:val="24"/>
        </w:rPr>
        <w:t xml:space="preserve">. Провело переоценку группы основных средств «Машины и оборудование» в прошлом и отчетном году. Результат переоценки составил сумму дооценки с отнесением в добавочный капитал в размере 500 000 руб. за 2023 и 2022 год соответственно. </w:t>
      </w:r>
      <w:r>
        <w:rPr>
          <w:rFonts w:hAnsi="Times New Roman" w:cs="Times New Roman"/>
          <w:color w:val="000000"/>
          <w:sz w:val="24"/>
          <w:szCs w:val="24"/>
        </w:rPr>
        <w:t>В табличной части</w:t>
      </w:r>
      <w:r>
        <w:rPr>
          <w:rFonts w:hAnsi="Times New Roman" w:cs="Times New Roman"/>
          <w:color w:val="000000"/>
          <w:sz w:val="24"/>
          <w:szCs w:val="24"/>
        </w:rPr>
        <w:t xml:space="preserve"> пояснений к балансу представлено подробно </w:t>
      </w:r>
      <w:r>
        <w:rPr>
          <w:rFonts w:hAnsi="Times New Roman" w:cs="Times New Roman"/>
          <w:color w:val="000000"/>
          <w:sz w:val="24"/>
          <w:szCs w:val="24"/>
        </w:rPr>
        <w:t>в разделе 2 и 2.1.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Переоценка была проведена силами независимого оценщика. Данные переоценки в учете и отчетности отражены на основании отчетов оценщика</w:t>
      </w:r>
      <w:r>
        <w:rPr>
          <w:rFonts w:hAnsi="Times New Roman" w:cs="Times New Roman"/>
          <w:color w:val="000000"/>
          <w:sz w:val="24"/>
          <w:szCs w:val="24"/>
        </w:rPr>
        <w:t>№ 3 и 5 за 2022 и 2023 годы соответственно.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Нематериальные активы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 итогам инвентаризации на </w:t>
      </w:r>
      <w:r>
        <w:rPr>
          <w:rFonts w:hAnsi="Times New Roman" w:cs="Times New Roman"/>
          <w:color w:val="000000"/>
          <w:sz w:val="24"/>
          <w:szCs w:val="24"/>
        </w:rPr>
        <w:t>30 декабря 2023</w:t>
      </w:r>
      <w:r>
        <w:rPr>
          <w:rFonts w:hAnsi="Times New Roman" w:cs="Times New Roman"/>
          <w:color w:val="000000"/>
          <w:sz w:val="24"/>
          <w:szCs w:val="24"/>
        </w:rPr>
        <w:t xml:space="preserve"> года в составе НМА числятся </w:t>
      </w:r>
      <w:r>
        <w:rPr>
          <w:rFonts w:hAnsi="Times New Roman" w:cs="Times New Roman"/>
          <w:color w:val="000000"/>
          <w:sz w:val="24"/>
          <w:szCs w:val="24"/>
        </w:rPr>
        <w:t>два объекта в виде приобретенных товарных знаков для чулок и носков «Школа» и «Надя». Данные объекты признаются по ФСБУ 14/2022 и согласно учетной политике Общества как НМА по балансовой (без переоценки) стоимости с учетом накопленной амортизации. Никакие корректировки в учете и отчетности не требуются, так как стоимость активов не переоценивается, не было признаков обесценения, срок полезного использования не пересматривался, ликвидационная стоимость установлена нулевой по окончании срока эксплуатации объектов НМА.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Все числовые раскрытия по данным объектам указаны в табличных пояснениях к балансу и отчету о финансовых результатах в </w:t>
      </w:r>
      <w:r>
        <w:rPr>
          <w:rFonts w:hAnsi="Times New Roman" w:cs="Times New Roman"/>
          <w:color w:val="000000"/>
          <w:sz w:val="24"/>
          <w:szCs w:val="24"/>
        </w:rPr>
        <w:t>разделе 1 и 1.1.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Инвентаризация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 учета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средства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15.12.2023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Материально-производственные запасы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25.12.2023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29.12.2023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 ходе инвентаризации недостач и излишков не установлено.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Основные факторы, повлиявшие на результаты 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Выручка организации за отчетный период составила 88 263 тыс. руб., что ниже аналогичного показателя прошлого года. Уменьшение данного показателя связано со значительным снижением спроса на </w:t>
      </w:r>
      <w:r>
        <w:rPr>
          <w:rFonts w:hAnsi="Times New Roman" w:cs="Times New Roman"/>
          <w:color w:val="000000"/>
          <w:sz w:val="24"/>
          <w:szCs w:val="24"/>
        </w:rPr>
        <w:t>продукцию. Это связано со снижением уровня платежеспособности покупателей.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9. Информация о связанных сторонах и бенефициарах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ООО «Альфа»</w:t>
      </w:r>
      <w:r>
        <w:rPr>
          <w:rFonts w:hAnsi="Times New Roman" w:cs="Times New Roman"/>
          <w:color w:val="000000"/>
          <w:sz w:val="24"/>
          <w:szCs w:val="24"/>
        </w:rPr>
        <w:t xml:space="preserve"> принадлежит к группе компаний. Связанными сторонами Общества являются </w:t>
      </w:r>
      <w:r>
        <w:rPr>
          <w:rFonts w:hAnsi="Times New Roman" w:cs="Times New Roman"/>
          <w:color w:val="000000"/>
          <w:sz w:val="24"/>
          <w:szCs w:val="24"/>
        </w:rPr>
        <w:t xml:space="preserve">материнская компания, дочерние компании группы, ключевой управляющий персонал. </w:t>
      </w:r>
      <w:r>
        <w:rPr>
          <w:rFonts w:hAnsi="Times New Roman" w:cs="Times New Roman"/>
          <w:color w:val="000000"/>
          <w:sz w:val="24"/>
          <w:szCs w:val="24"/>
        </w:rPr>
        <w:t>За отчетный период и на конец отчетного года Общества располагает следующими сведениями:</w:t>
      </w:r>
    </w:p>
    <w:tbl>
      <w:tblPr>
        <w:tblW w:w="81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Связанная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сторона</w:t>
            </w:r>
          </w:p>
        </w:tc>
        <w:tc>
          <w:tcPr>
            <w:tcW w:w="1462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 отношений</w:t>
            </w:r>
          </w:p>
        </w:tc>
        <w:tc>
          <w:tcPr>
            <w:tcW w:w="1706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операции</w:t>
            </w:r>
          </w:p>
        </w:tc>
        <w:tc>
          <w:tcPr>
            <w:tcW w:w="1462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Объем операции, сумма в тыс. руб. </w:t>
            </w:r>
          </w:p>
        </w:tc>
      </w:tr>
      <w:tr>
        <w:trPr>
          <w:trHeight w:val="0"/>
        </w:trPr>
        <w:tc>
          <w:tcPr>
            <w:tcW w:w="1624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Производственная компания «Алеф»</w:t>
            </w:r>
          </w:p>
        </w:tc>
        <w:tc>
          <w:tcPr>
            <w:tcW w:w="146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Дочерняя компания</w:t>
            </w:r>
          </w:p>
        </w:tc>
        <w:tc>
          <w:tcPr>
            <w:tcW w:w="170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Поставка сырья </w:t>
            </w:r>
          </w:p>
        </w:tc>
        <w:tc>
          <w:tcPr>
            <w:tcW w:w="146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1550</w:t>
            </w:r>
          </w:p>
        </w:tc>
      </w:tr>
      <w:tr>
        <w:trPr>
          <w:trHeight w:val="0"/>
        </w:trPr>
        <w:tc>
          <w:tcPr>
            <w:tcW w:w="1624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Торговый дом «Альфа Д»</w:t>
            </w:r>
          </w:p>
        </w:tc>
        <w:tc>
          <w:tcPr>
            <w:tcW w:w="146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Дочерняя компания</w:t>
            </w:r>
          </w:p>
        </w:tc>
        <w:tc>
          <w:tcPr>
            <w:tcW w:w="170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 займа</w:t>
            </w:r>
          </w:p>
        </w:tc>
        <w:tc>
          <w:tcPr>
            <w:tcW w:w="146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>
        <w:trPr>
          <w:trHeight w:val="0"/>
        </w:trPr>
        <w:tc>
          <w:tcPr>
            <w:tcW w:w="1624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Ключевой управляющий персонал</w:t>
            </w:r>
          </w:p>
        </w:tc>
        <w:tc>
          <w:tcPr>
            <w:tcW w:w="146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Наемные сотрудники по ТК РФ</w:t>
            </w:r>
          </w:p>
        </w:tc>
        <w:tc>
          <w:tcPr>
            <w:tcW w:w="170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Оплата труда вместе с премиями</w:t>
            </w:r>
          </w:p>
        </w:tc>
        <w:tc>
          <w:tcPr>
            <w:tcW w:w="146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>
        <w:trPr>
          <w:trHeight w:val="0"/>
        </w:trPr>
        <w:tc>
          <w:tcPr>
            <w:tcW w:w="1624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46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70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46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1624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Связанная сторона</w:t>
            </w:r>
          </w:p>
        </w:tc>
        <w:tc>
          <w:tcPr>
            <w:tcW w:w="146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 отношений</w:t>
            </w:r>
          </w:p>
        </w:tc>
        <w:tc>
          <w:tcPr>
            <w:tcW w:w="170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Остаток задолженности на начало отчетного периода, в тыс. руб. </w:t>
            </w:r>
          </w:p>
        </w:tc>
        <w:tc>
          <w:tcPr>
            <w:tcW w:w="146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Объем операции, сумма в тыс. руб. </w:t>
            </w:r>
          </w:p>
        </w:tc>
      </w:tr>
      <w:tr>
        <w:trPr>
          <w:trHeight w:val="0"/>
        </w:trPr>
        <w:tc>
          <w:tcPr>
            <w:tcW w:w="1624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Производственная компания «Алеф»</w:t>
            </w:r>
          </w:p>
        </w:tc>
        <w:tc>
          <w:tcPr>
            <w:tcW w:w="146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Дочерняя компания</w:t>
            </w:r>
          </w:p>
        </w:tc>
        <w:tc>
          <w:tcPr>
            <w:tcW w:w="170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6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2550</w:t>
            </w:r>
          </w:p>
        </w:tc>
      </w:tr>
      <w:tr>
        <w:trPr>
          <w:trHeight w:val="0"/>
        </w:trPr>
        <w:tc>
          <w:tcPr>
            <w:tcW w:w="1624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Торговый дом «Альфа Д»</w:t>
            </w:r>
          </w:p>
        </w:tc>
        <w:tc>
          <w:tcPr>
            <w:tcW w:w="146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Дочерняя компания</w:t>
            </w:r>
          </w:p>
        </w:tc>
        <w:tc>
          <w:tcPr>
            <w:tcW w:w="170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6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2880</w:t>
            </w:r>
          </w:p>
        </w:tc>
      </w:tr>
      <w:tr>
        <w:trPr>
          <w:trHeight w:val="0"/>
        </w:trPr>
        <w:tc>
          <w:tcPr>
            <w:tcW w:w="1624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Ключевой управляющий персонал</w:t>
            </w:r>
          </w:p>
        </w:tc>
        <w:tc>
          <w:tcPr>
            <w:tcW w:w="146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Наемные сотрудники по ТК РФ</w:t>
            </w:r>
          </w:p>
        </w:tc>
        <w:tc>
          <w:tcPr>
            <w:tcW w:w="170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6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1624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46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70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46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Бенефициаром компании является г-н Александров С.С., гражданин РФ (Россия), адрес постоянного проживания: г. Санкт-Петербург, Невский пр., д. 5 литера А. За проверяемый период наше Общество выплаты в его пользу не производило.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10. Способ раскрытия информации о госпомощи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отчетном периоде компания госпомощь не получала.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11. Соблюдение принципа непрерывности 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Бухгалтерская (финансовая) отчетность за отчетный год была подготовлена на основе принципа непрерывности деятельности. </w:t>
      </w:r>
      <w:r>
        <w:rPr>
          <w:rFonts w:hAnsi="Times New Roman" w:cs="Times New Roman"/>
          <w:color w:val="000000"/>
          <w:sz w:val="24"/>
          <w:szCs w:val="24"/>
        </w:rPr>
        <w:t>Однако данный принцип может быть нарушен из-за сложившихся обстоятельств, связанных с санкционной политикой иностранных государств и организаций против России.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 оценили возможность влияния данных обстоятельств на финансовое состояние и результаты финансовой деятельности компании в течение 12 месяцев, следующих после отчетной даты, и делаем следующие заявления.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Из-за событий, связанных с санкциями, согласно плану оздоровления финансового положения компании из-за вынужденного простоя Общество в оперативном порядке перешло на сырьевую базу российского производства. На данный момент уже заключен договор поставки сырья с ООО «Бета» от 28.02.2022. На срок приостановки деятельности рабочие места сотрудников сохранены и выплачивается заработная плата. Компания остается платежеспособной по уплате своих обязательств в рублях.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12. События после отчетной даты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После 24.02.2022 были введены санкции против России. Одна из санкционных мер – отключение от системы SWIFT банка ПАО «ВТБ», который обслуживает расчетные счета в евро. Данный факт негативно и существенно повлиял на деятельность Общества в целом и на соблюдение непрерывности деятельности в будущем, о чем указано в отдельном параграфе данных текстовых пояснений к бухгалтерской (финансовой) отчетности.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отчетном периоде ситуация нормализовалась. Компания полностью перешла на расчеты в рублях, контрагенты компании – российские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составления текстовых пояснений</w:t>
      </w:r>
      <w:r>
        <w:rPr>
          <w:rFonts w:hAnsi="Times New Roman" w:cs="Times New Roman"/>
          <w:color w:val="000000"/>
          <w:sz w:val="24"/>
          <w:szCs w:val="24"/>
        </w:rPr>
        <w:t>28 февраля 2024 года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Руководитель Общества __________________</w:t>
      </w:r>
      <w:r>
        <w:rPr>
          <w:rFonts w:hAnsi="Times New Roman" w:cs="Times New Roman"/>
          <w:color w:val="000000"/>
          <w:sz w:val="24"/>
          <w:szCs w:val="24"/>
        </w:rPr>
        <w:t>Львов А.В.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9c423798dc348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