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B58" w:rsidRPr="00C607E1" w:rsidRDefault="00C607E1" w:rsidP="00C607E1">
      <w:pPr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</w:pPr>
      <w:r w:rsidRPr="00C607E1"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>В соответствии с </w:t>
      </w:r>
      <w:proofErr w:type="spellStart"/>
      <w:r w:rsidRPr="00C607E1"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>подп</w:t>
      </w:r>
      <w:proofErr w:type="spellEnd"/>
      <w:r w:rsidRPr="00C607E1"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>. 11 п. 1 ст. 264 НК РФ к прочим расходам, связанным с производством и реализацией, относятся расходы на содержание </w:t>
      </w:r>
      <w:r w:rsidRPr="00C607E1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11"/>
          <w:szCs w:val="11"/>
          <w:shd w:val="clear" w:color="auto" w:fill="FFFFFF"/>
        </w:rPr>
        <w:t>служебного</w:t>
      </w:r>
      <w:r w:rsidRPr="00C607E1"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> </w:t>
      </w:r>
      <w:r w:rsidRPr="00C607E1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11"/>
          <w:szCs w:val="11"/>
          <w:shd w:val="clear" w:color="auto" w:fill="FFFFFF"/>
        </w:rPr>
        <w:t>транспорта</w:t>
      </w:r>
      <w:r w:rsidRPr="00C607E1"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> (</w:t>
      </w:r>
      <w:r w:rsidRPr="00C607E1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11"/>
          <w:szCs w:val="11"/>
          <w:shd w:val="clear" w:color="auto" w:fill="FFFFFF"/>
        </w:rPr>
        <w:t>автомобильного</w:t>
      </w:r>
      <w:r w:rsidRPr="00C607E1"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 xml:space="preserve">, железнодорожного, воздушного и др.). </w:t>
      </w:r>
      <w:proofErr w:type="gramStart"/>
      <w:r w:rsidRPr="00C607E1"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>Такие расходы могут быть учтены при расчете налоговой базы по налогу на </w:t>
      </w:r>
      <w:r w:rsidRPr="00C607E1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11"/>
          <w:szCs w:val="11"/>
          <w:shd w:val="clear" w:color="auto" w:fill="FFFFFF"/>
        </w:rPr>
        <w:t>прибыль</w:t>
      </w:r>
      <w:r w:rsidRPr="00C607E1"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> в случае их оформления документами, соответствующими требованиям действующего законодательства, при условии обоснованности таких расходов (см. письма Минфина России от 02.09.2024 N 03-03-06/1/82762, от 10.02.2022 N 03-03-06/1/9000, от 12.10.2021 N 03-03-06/1/82323, от 09.02.2018 N 03-03-06/1/7855).</w:t>
      </w:r>
      <w:proofErr w:type="gramEnd"/>
      <w:r w:rsidRPr="00C607E1"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 xml:space="preserve"> При этом НК РФ не содержит конкретного перечня расходов на содержание транспорта и требований о нормировании таких расходов (см. письмо Минфина России от 22.03.2019 N 03-03-07/19283).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Перечень расходов на содержание служебного транспорта открыт, поэтому в целях налогообложения могут быть учтены любые экономически обоснованные и документально подтвержденные расходы, связанные с содержанием транспорта. В частности, к ним относятся: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- расходы на ГСМ (все виды топлива - газ, бензин, дизтопливо и пр., масла и смазки);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- расходы на подзарядку электромобилей (письмо Минфина России от 31.05.2021 N 03-03-06/3/42061);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- расходы на технический осмотр;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- расходы на покупку "зимней" резины;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- затраты на мойку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автомобиля</w:t>
      </w:r>
      <w:r w:rsidRPr="00C607E1">
        <w:rPr>
          <w:color w:val="000000" w:themeColor="text1"/>
          <w:sz w:val="11"/>
          <w:szCs w:val="11"/>
        </w:rPr>
        <w:t> (письмо Минфина России от 20.06.2006 N 03-03-04/1/530, постановление ФАС Центрального округа от 28.08.2009 N А68-9833/08-580/14);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- плата за хранение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автомобиля</w:t>
      </w:r>
      <w:r w:rsidRPr="00C607E1">
        <w:rPr>
          <w:color w:val="000000" w:themeColor="text1"/>
          <w:sz w:val="11"/>
          <w:szCs w:val="11"/>
        </w:rPr>
        <w:t> на платной стоянке (письма Минфина России от 16.07.2021 N 03-03-06/1/56783, от 27.04.2006 N 03-03-04/1/404);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- затраты организации на перевозку в служебных целях работников службами такси (письмо Минфина России от 20.10.2017 N 03-03-06/1/68839);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- расходы на проезд по платным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автомобильным</w:t>
      </w:r>
      <w:r w:rsidRPr="00C607E1">
        <w:rPr>
          <w:color w:val="000000" w:themeColor="text1"/>
          <w:sz w:val="11"/>
          <w:szCs w:val="11"/>
        </w:rPr>
        <w:t> дорогам и др.</w:t>
      </w:r>
    </w:p>
    <w:p w:rsidR="00C607E1" w:rsidRPr="00C607E1" w:rsidRDefault="00C607E1" w:rsidP="00C607E1">
      <w:pPr>
        <w:pStyle w:val="s3"/>
        <w:jc w:val="center"/>
        <w:rPr>
          <w:b/>
          <w:bCs/>
          <w:color w:val="000000" w:themeColor="text1"/>
          <w:sz w:val="11"/>
          <w:szCs w:val="11"/>
        </w:rPr>
      </w:pPr>
      <w:r w:rsidRPr="00C607E1">
        <w:rPr>
          <w:b/>
          <w:bCs/>
          <w:color w:val="000000" w:themeColor="text1"/>
          <w:sz w:val="11"/>
          <w:szCs w:val="11"/>
        </w:rPr>
        <w:t>Расходы на ГСМ не нормируются, но требуют обоснования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В </w:t>
      </w:r>
      <w:proofErr w:type="spellStart"/>
      <w:r w:rsidRPr="00C607E1">
        <w:rPr>
          <w:color w:val="000000" w:themeColor="text1"/>
          <w:sz w:val="11"/>
          <w:szCs w:val="11"/>
        </w:rPr>
        <w:t>подп</w:t>
      </w:r>
      <w:proofErr w:type="spellEnd"/>
      <w:r w:rsidRPr="00C607E1">
        <w:rPr>
          <w:color w:val="000000" w:themeColor="text1"/>
          <w:sz w:val="11"/>
          <w:szCs w:val="11"/>
        </w:rPr>
        <w:t>. 11 п. 1 ст. 264 НК РФ не предусмотрено ограничений по учету расходов на ГСМ при исчислении налога на прибыль. Однако представители контролирующих органов считают, что в целях соблюдения требований ст. 252 НК РФ расходы на ГСМ необходимо списывать согласно утвержденным нормам расхода топлива.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Базовые нормы расхода ГСМ установлены Методическими рекомендациями (далее - Рекомендации), введенными в действие распоряжением Минтранса России от 14.03.2008 N АМ-23-р. Рекомендации предназначены для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автотранспортных</w:t>
      </w:r>
      <w:r w:rsidRPr="00C607E1">
        <w:rPr>
          <w:color w:val="000000" w:themeColor="text1"/>
          <w:sz w:val="11"/>
          <w:szCs w:val="11"/>
        </w:rPr>
        <w:t> предприятий, организаций, занятых в системе управления и контроля, предпринимателей и других независимо от форм собственности, эксплуатирующих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автомобильную</w:t>
      </w:r>
      <w:r w:rsidRPr="00C607E1">
        <w:rPr>
          <w:color w:val="000000" w:themeColor="text1"/>
          <w:sz w:val="11"/>
          <w:szCs w:val="11"/>
        </w:rPr>
        <w:t> технику и специальный подвижной состав на шасси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автомобилей</w:t>
      </w:r>
      <w:r w:rsidRPr="00C607E1">
        <w:rPr>
          <w:color w:val="000000" w:themeColor="text1"/>
          <w:sz w:val="11"/>
          <w:szCs w:val="11"/>
        </w:rPr>
        <w:t> на территории РФ. В п. 3 Рекомендаций перечислены цели установления Нормы расхода топлив и смазочных материалов, среди которых указаны расчеты по налогообложению предприятий. Поэтому ФНС России письмом от 15.04.2008 N СК-6-5/281 разосланы Рекомендации по расходу ГСМ нижестоящим налоговым органам "для руководства в работе".</w:t>
      </w:r>
    </w:p>
    <w:p w:rsidR="00C607E1" w:rsidRPr="00C607E1" w:rsidRDefault="00C607E1" w:rsidP="00C607E1">
      <w:pPr>
        <w:pStyle w:val="s3"/>
        <w:jc w:val="center"/>
        <w:rPr>
          <w:b/>
          <w:bCs/>
          <w:color w:val="000000" w:themeColor="text1"/>
          <w:sz w:val="11"/>
          <w:szCs w:val="11"/>
        </w:rPr>
      </w:pPr>
      <w:r w:rsidRPr="00C607E1">
        <w:rPr>
          <w:b/>
          <w:bCs/>
          <w:color w:val="000000" w:themeColor="text1"/>
          <w:sz w:val="11"/>
          <w:szCs w:val="11"/>
        </w:rPr>
        <w:t>Как установить нормы расхода ГСМ?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В письмах от 03.09.2010 N 03-03-06/2/57, от 22.06.2010 N 03-03-06/4/61 Минфин России подтвердил, что при определении обоснованности произведенных затрат на приобретение топлива для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служебного</w:t>
      </w:r>
      <w:r w:rsidRPr="00C607E1">
        <w:rPr>
          <w:color w:val="000000" w:themeColor="text1"/>
          <w:sz w:val="11"/>
          <w:szCs w:val="11"/>
        </w:rPr>
        <w:t>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автомобиля</w:t>
      </w:r>
      <w:r w:rsidRPr="00C607E1">
        <w:rPr>
          <w:color w:val="000000" w:themeColor="text1"/>
          <w:sz w:val="11"/>
          <w:szCs w:val="11"/>
        </w:rPr>
        <w:t> при определении налоговой базы по налогу на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прибыль</w:t>
      </w:r>
      <w:r w:rsidRPr="00C607E1">
        <w:rPr>
          <w:color w:val="000000" w:themeColor="text1"/>
          <w:sz w:val="11"/>
          <w:szCs w:val="11"/>
        </w:rPr>
        <w:t> следует учитывать нормы, приведенные в Рекомендациях. А в случае отсутствия норм расхода ГСМ для отдельных моделей, марок и модификаций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автомобильной</w:t>
      </w:r>
      <w:r w:rsidRPr="00C607E1">
        <w:rPr>
          <w:color w:val="000000" w:themeColor="text1"/>
          <w:sz w:val="11"/>
          <w:szCs w:val="11"/>
        </w:rPr>
        <w:t xml:space="preserve"> техники, поступающей в автопарк, необходимо применять нормы, утвержденные приказом руководителя и разработанные по индивидуальным заявкам в установленном порядке научными организациями, осуществляющими разработку таких норм по специальной программе-методике (п. 6 Рекомендаций). Иной порядок в рассматриваемом документе не предусмотрен. </w:t>
      </w:r>
      <w:proofErr w:type="gramStart"/>
      <w:r w:rsidRPr="00C607E1">
        <w:rPr>
          <w:color w:val="000000" w:themeColor="text1"/>
          <w:sz w:val="11"/>
          <w:szCs w:val="11"/>
        </w:rPr>
        <w:t>Однако в письмах Минфина России от 22.03.2019 N 03-03-07/19283, от 27.01.2014 N 03-03-06/1/2875, от 30.01.2013 N 03-03-06/2/12 разъясняется, что налогоплательщики вправе, но не обязаны использовать нормы расхода топлив и смазочных материалов на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автомобильном</w:t>
      </w:r>
      <w:r w:rsidRPr="00C607E1">
        <w:rPr>
          <w:color w:val="000000" w:themeColor="text1"/>
          <w:sz w:val="11"/>
          <w:szCs w:val="11"/>
        </w:rPr>
        <w:t>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транспорте</w:t>
      </w:r>
      <w:r w:rsidRPr="00C607E1">
        <w:rPr>
          <w:color w:val="000000" w:themeColor="text1"/>
          <w:sz w:val="11"/>
          <w:szCs w:val="11"/>
        </w:rPr>
        <w:t>", утв. распоряжением Минтранса России от 14.03.2008 N АМ-23-р, при определении обоснованности произведенных затрат на ГСМ.</w:t>
      </w:r>
      <w:proofErr w:type="gramEnd"/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В письме от 22.06.2010 N 03-03-06/4/61 Минфин России разрешил налогоплательщику руководствоваться технической документацией и (или) информацией, предоставляемой изготовителем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автомобиля</w:t>
      </w:r>
      <w:r w:rsidRPr="00C607E1">
        <w:rPr>
          <w:color w:val="000000" w:themeColor="text1"/>
          <w:sz w:val="11"/>
          <w:szCs w:val="11"/>
        </w:rPr>
        <w:t>, до принятия приказа организации, утверждающего нормы, разработанные в установленном порядке, то есть разработанные специализированной организацией.</w:t>
      </w:r>
    </w:p>
    <w:p w:rsidR="00C607E1" w:rsidRPr="00C607E1" w:rsidRDefault="00C607E1" w:rsidP="00C607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Распоряжением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от 20.09.2018 N ИА-159-р Минтранс России уточнил правила расчета норм расхода топлива для легковых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автомобилей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.</w:t>
      </w:r>
    </w:p>
    <w:p w:rsidR="00C607E1" w:rsidRPr="00C607E1" w:rsidRDefault="00C607E1" w:rsidP="00C607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Так, базовая норма расхода топлива на пробег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автомобиля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теперь определяется не только по таблицам, приведенным Минтрансом, но и на основе данных завода-изготовителя. Они могут быть получены по результатам испытаний WLTP или испытаний по Правилу ООН N 101. Если применяются данные завода-изготовителя, полученные по результатам испытаний по Правилу ООН N 101, их нужно скорректировать на поправочный коэффициент.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Отметим, что нормы расхода топлив при некоторых условиях повышаются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(п. 5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Методических рекомендаций). Это работа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автотранспорта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 в частности: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в зимнее время года в зависимости от климатических районов страны;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на дорогах общего пользования в горной местности или со сложным планом;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в населенных пунктах с различной численностью населения;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</w:t>
      </w:r>
      <w:proofErr w:type="gram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требующая</w:t>
      </w:r>
      <w:proofErr w:type="gram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 частых технологических остановок, связанных с погрузкой и выгрузкой (посадкой и высадкой);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при использовании кондиционера или "</w:t>
      </w:r>
      <w:proofErr w:type="spellStart"/>
      <w:proofErr w:type="gram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климат-контроля</w:t>
      </w:r>
      <w:proofErr w:type="spellEnd"/>
      <w:proofErr w:type="gram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";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при обкатке новых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автомобилей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и вышедших из капитального ремонта;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в зависимости от общего пробега и срока эксплуатации и т. д.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Соответственно, при разработке норм расхода ГСМ следует предусмотреть соответствующие повышающие коэффициенты.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b/>
          <w:bCs/>
          <w:color w:val="000000" w:themeColor="text1"/>
          <w:sz w:val="11"/>
          <w:szCs w:val="11"/>
          <w:lang w:eastAsia="ru-RU"/>
        </w:rPr>
        <w:t>Если </w:t>
      </w:r>
      <w:r w:rsidRPr="00C607E1">
        <w:rPr>
          <w:rFonts w:ascii="Times New Roman" w:eastAsia="Times New Roman" w:hAnsi="Times New Roman" w:cs="Times New Roman"/>
          <w:b/>
          <w:bCs/>
          <w:color w:val="000000" w:themeColor="text1"/>
          <w:sz w:val="11"/>
          <w:lang w:eastAsia="ru-RU"/>
        </w:rPr>
        <w:t>автомобиль</w:t>
      </w:r>
      <w:r w:rsidRPr="00C607E1">
        <w:rPr>
          <w:rFonts w:ascii="Times New Roman" w:eastAsia="Times New Roman" w:hAnsi="Times New Roman" w:cs="Times New Roman"/>
          <w:b/>
          <w:bCs/>
          <w:color w:val="000000" w:themeColor="text1"/>
          <w:sz w:val="11"/>
          <w:szCs w:val="11"/>
          <w:lang w:eastAsia="ru-RU"/>
        </w:rPr>
        <w:t> работает на газовом топливе...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Согласно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п. 3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Методических рекомендаций норма расхода топлива подразумевает установленное значение меры его потребления при работе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автомобиля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конкретной модели, марки или модификации. При нормировании различают базовое значение расхода топлив, которое определяется для каждой модели, марки или модификации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автомобиля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в качестве общепринятой нормы, и расчетное нормативное значение расхода топлив, учитывающее выполняемую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транспортную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работу и условия эксплуатации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автомобиля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lastRenderedPageBreak/>
        <w:t>Базовые нормы расхода топлив на пробег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автомобиля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для конкретных моделей, марок и модификаций приведены в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пунктах 7 - 15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Методических рекомендаций. Если нормы расхода какого-либо топлива не установлены, то нужно определить их расчетным путем. Коэффициенты пересчета базовой нормы для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автомобиля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на бензине в сжиженный нефтяной газ (СНГ), сжатый природный газ (СПГ) даны в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п. 4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Методических рекомендаций: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для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автомобилей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, работающих на сжиженном углеводородном газе (СУГ) - в литрах СНГ из расчета 1 л бензина соответствует "1,32 л СНГ, не более" (рекомендуемая норма в пределах 1,22+-0,10 л СНГ к 1 л бензина, в зависимости от свойств </w:t>
      </w:r>
      <w:proofErr w:type="spellStart"/>
      <w:proofErr w:type="gram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пропан-бутановой</w:t>
      </w:r>
      <w:proofErr w:type="spellEnd"/>
      <w:proofErr w:type="gram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 смеси);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для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автомобилей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 работающих на компримированном природном газе (КПГ) - в нормальных метрах кубических СПГ, из расчета 1 л бензина соответствует 1+-0,1 куб. м СПГ (в зависимости от свой</w:t>
      </w:r>
      <w:proofErr w:type="gram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ств пр</w:t>
      </w:r>
      <w:proofErr w:type="gram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иродного газа);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для газодизельных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автомобилей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норма расхода сжатого природного газа указана в куб. </w:t>
      </w:r>
      <w:proofErr w:type="gram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м</w:t>
      </w:r>
      <w:proofErr w:type="gram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 с одновременным указанием нормы расхода дизтоплива в литрах, их соотношение определяется производителем техники (или в инструкции по эксплуатации).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  <w:lang w:eastAsia="ru-RU"/>
        </w:rPr>
      </w:pPr>
      <w:r w:rsidRPr="00C607E1"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  <w:lang w:eastAsia="ru-RU"/>
        </w:rPr>
        <w:t>Пример</w:t>
      </w:r>
    </w:p>
    <w:p w:rsidR="00C607E1" w:rsidRPr="00C607E1" w:rsidRDefault="00C607E1" w:rsidP="00C607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Для </w:t>
      </w:r>
      <w:proofErr w:type="spell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Kia</w:t>
      </w:r>
      <w:proofErr w:type="spell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 </w:t>
      </w:r>
      <w:proofErr w:type="spell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Sorento</w:t>
      </w:r>
      <w:proofErr w:type="spell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 2.4 (4L-2,351-139-5M) базовая норма для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автомобиля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на бензине - 11,5 л/100 км. Большая часть газа, продающегося на АЗС, - это смесь пропана и бутана (СУГ), для которого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коэффициент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 пересчета - 1,22 (т. е. расход больше на 22%, чем бензина). Норма расхода сжиженного углеводородного газа будет: 11,5 </w:t>
      </w:r>
      <w:proofErr w:type="spell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х</w:t>
      </w:r>
      <w:proofErr w:type="spell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 1,22 = 14,03.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b/>
          <w:bCs/>
          <w:color w:val="000000" w:themeColor="text1"/>
          <w:sz w:val="11"/>
          <w:szCs w:val="11"/>
          <w:lang w:eastAsia="ru-RU"/>
        </w:rPr>
        <w:t>Подтверждение расходов на ГСМ данными ГЛОНАСС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В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письме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от 16.06.2011 N 03-03-06/1/354 Минфин России указал на возможность использования данных системы спутниковой навигации ГЛОНАСС для подтверждения произведенных расходов на ГСМ. О том, что оптимальным решением является контроль расхода топлива через оборудование ГЛОНАСС, указано в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Заключени</w:t>
      </w:r>
      <w:proofErr w:type="gram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и</w:t>
      </w:r>
      <w:proofErr w:type="gram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Минэкономразвития России от 20.04.2012. Согласно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Национальному стандарту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 РФ ГОСТ 32450-2013 использование технологий связи и спутниковой навигации путем установления бортового навигационно-связного оборудования способно </w:t>
      </w:r>
      <w:proofErr w:type="gram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обеспечить</w:t>
      </w:r>
      <w:proofErr w:type="gram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 в том числе контроль расхода топлива, а также определение пройденного расстояния по данным спутниковой навигации (виртуальный одометр).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Таким образом, при наличии возможности определить остаток топлива, его расход, пройденное расстояние с помощью системы ГЛОНАСС данные показатели могут быть использованы для отражения в документах по учету ГСМ.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Возможность подтверждения пробега и остатка топлива на основании данных ГЛОНАСС следует закрепить в учетной политике организации.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proofErr w:type="gram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Однако использование данных спутниковой системы, по нашему мнению, не заменяет путевые листы, поскольку они не только подтверждают использование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автомобиля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в служебных целях, но и в целом указывают на экономическую обоснованность и производственную направленность всех затрат, связанных с использованием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автотранспорта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(письма Минфина России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от 30.11.2012 N 03-03-07/51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от 16.06.2011 N 03-03-06/1/354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от 25.08.2009 N 03-03-06/2/161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 письма</w:t>
      </w:r>
      <w:proofErr w:type="gram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 </w:t>
      </w:r>
      <w:proofErr w:type="gram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ФНС России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от 13.11.2018 N БС-3-11/8304@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от 22.11.2010 N ШС-37-3/15988@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письмо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УФНС России по г. Москве от 09.07.2019 N 16-15/116577@).</w:t>
      </w:r>
      <w:proofErr w:type="gram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 Кроме того, с помощью путевого листа можно обосновать использование физическим лицом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автомобиля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в служебных целях, что снизит риск включения в налоговую базу по НДФЛ сумм, выданных сотруднику под отчет, или в качестве компенсации затрат на эксплуатацию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автомобиля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(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письмо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Минфина России от 11.06.2014 N 03-04-05/28243,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п. 3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письма ФНС России от 13.11.2018 N БС-3-11/8304@, а также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постановление</w:t>
      </w:r>
      <w:proofErr w:type="gram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В</w:t>
      </w:r>
      <w:proofErr w:type="gram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торого ААС от 08.09.2016 N 02АП-6780/16).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b/>
          <w:bCs/>
          <w:color w:val="000000" w:themeColor="text1"/>
          <w:sz w:val="11"/>
          <w:szCs w:val="11"/>
          <w:lang w:eastAsia="ru-RU"/>
        </w:rPr>
        <w:t>Путевой лист для подтверждения расходов на ГСМ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Основным документом для учета использования ГСМ является </w:t>
      </w:r>
      <w:r w:rsidRPr="00C607E1">
        <w:rPr>
          <w:rFonts w:ascii="Times New Roman" w:eastAsia="Times New Roman" w:hAnsi="Times New Roman" w:cs="Times New Roman"/>
          <w:b/>
          <w:bCs/>
          <w:color w:val="000000" w:themeColor="text1"/>
          <w:sz w:val="11"/>
          <w:lang w:eastAsia="ru-RU"/>
        </w:rPr>
        <w:t>путевой лист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 который не только обосновывает расходы на ГСМ, но и в целом подтверждает экономическую обоснованность и производственную направленность затрат, связанных с использованием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автотранспорта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  <w:lang w:eastAsia="ru-RU"/>
        </w:rPr>
      </w:pPr>
      <w:r w:rsidRPr="00C607E1"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  <w:lang w:eastAsia="ru-RU"/>
        </w:rPr>
        <w:t>Примечание</w:t>
      </w:r>
    </w:p>
    <w:p w:rsidR="00C607E1" w:rsidRPr="00C607E1" w:rsidRDefault="00C607E1" w:rsidP="00C607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Ранее разъяснялось, что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типовые межотраслевые формы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путевых листов, утв.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постановлением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Госкомстата России от 28.11.1997 N 78, применяются для учета работ в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автомобильном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транспорте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 то есть специализированными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автотранспортными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предприятиями (</w:t>
      </w:r>
      <w:proofErr w:type="gram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см</w:t>
      </w:r>
      <w:proofErr w:type="gram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. письма Минфина России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от 07.04.2006 N 03-03-04/1/327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от 20.02.2006 N 03-03-04/1/129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). Смысл этих разъяснений не в конкретной форме путевого листа, а в том, что установленные формы применяют именно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автотранспортные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предприятия, остальные организации могут разработать собственные.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Состав сведений и порядок оформления (формирования) путевого листа утверждены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приказом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Минтранса России от 28.09.2022 N 390 (далее - Приказ N 390). Приказ применяется, в том числе, юридическими лицами и индивидуальными предпринимателями, эксплуатирующими легковые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автомобили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.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Приказ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N 390 вступил в силу с 1 марта 2023 г. и действует до 1 марта 2029 г.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  <w:lang w:eastAsia="ru-RU"/>
        </w:rPr>
      </w:pPr>
      <w:r w:rsidRPr="00C607E1"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  <w:lang w:eastAsia="ru-RU"/>
        </w:rPr>
        <w:t>Примечание</w:t>
      </w:r>
    </w:p>
    <w:p w:rsidR="00C607E1" w:rsidRPr="00C607E1" w:rsidRDefault="00C607E1" w:rsidP="00C607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Минфин России в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письме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от 24.10.2022 N 03-03-07/102628 указал, что по вопросам, возникающим при оформлении путевых листов, следует обращаться в Минтранс России.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proofErr w:type="gram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Организации могут разработать собственную форму путевого листа с учетом требований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Приказа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N 390 и обязательных реквизитов, указанных в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ч. 2 ст. 9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Федерального закона от 06.12.2011 N 402-ФЗ "О бухгалтерском учете" (см. также письма Минфина России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от 06.03.2013 N 03-03-06/1/6700,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от 25.08.2009 N 03-03-06/2/161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от 07.04.2006 N 03-03-04/1/327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от 20.02.2006 N 03-03-04/1/129</w:t>
      </w:r>
      <w:proofErr w:type="gram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и др.).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Путевой лист должен быть оформлен или сформирован собственником (владельцем)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транспортного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средства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на каждое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транспортное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средство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(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п. 10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Приказа N 390). Путевой лист должен быть оформлен или сформирован до выпуска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транспортного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средства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на линию. Допускается (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u w:val="single"/>
          <w:lang w:eastAsia="ru-RU"/>
        </w:rPr>
        <w:t>п. 11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Приказа N 390):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оформление или формирование одного путевого листа на один рейс, если длительность рейса превышает продолжительность рабочего дня (смены) водителя (водителей);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оформление нескольких путевых листов на бумажных носителях на одно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транспортное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средство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раздельно на каждого водителя, в том числе на каждого последующего водителя после выпуска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транспортного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средства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на линию;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 или формирование одного путевого листа на несколько рейсов, если в течение рабочего дня (смены) водитель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транспортного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средства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совершает один или несколько рейсов;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- внесение изменений в сведения о водителе (водителях)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транспортного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средства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 а также о марках, моделях прицепов (полуприцепов) и их регистрационных номерах, в случае формирования электронного путевого листа.</w:t>
      </w:r>
    </w:p>
    <w:p w:rsidR="00C607E1" w:rsidRPr="00C607E1" w:rsidRDefault="00C607E1" w:rsidP="00C607E1">
      <w:pPr>
        <w:pStyle w:val="s3"/>
        <w:jc w:val="center"/>
        <w:rPr>
          <w:b/>
          <w:bCs/>
          <w:color w:val="000000" w:themeColor="text1"/>
          <w:sz w:val="11"/>
          <w:szCs w:val="11"/>
        </w:rPr>
      </w:pPr>
      <w:r w:rsidRPr="00C607E1">
        <w:rPr>
          <w:b/>
          <w:bCs/>
          <w:color w:val="000000" w:themeColor="text1"/>
          <w:sz w:val="11"/>
          <w:szCs w:val="11"/>
        </w:rPr>
        <w:t>Налоговый и бухгалтерский учет расходов на ГСМ по топливным картам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Топливная карта - это техническое средство учета отпуска нефтепродуктов на АЗС. Топливные карты не имеют статуса кредитных или иных платежных карточек, эмитентом которых является кредитное учреждение, а используются как средство строгой отчетности, позволяющее держателю карты получить от лица покупателя определенное количество товара. Топливная карта фиксирует объем приобретенного топлива в литрах и позволяет ее держателю заправлять бензин в пределах расходного лимита.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Топливная карта обычно является собственностью поставщика и передается им в пользование заказчику. Выдача топливной карты осуществляется на основании договора, который учреждение заключает с сетью АЗС, оплата выполняется путем перечисления денег на счет, указанный в договоре, пополнение счета возможно в любой момент. Возможна выдача нескольких топливных карт одновременно, при этом некоторые поставщики предоставляют право перераспределять топливо между картами.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 xml:space="preserve">Правила расчетов с поставщиками ГСМ по топливным картам, периодичность и порядок предоставления документов по отпущенным ГСМ устанавливается в договоре поставки. В нем стороны могут </w:t>
      </w:r>
      <w:proofErr w:type="gramStart"/>
      <w:r w:rsidRPr="00C607E1">
        <w:rPr>
          <w:color w:val="000000" w:themeColor="text1"/>
          <w:sz w:val="11"/>
          <w:szCs w:val="11"/>
        </w:rPr>
        <w:t>определить</w:t>
      </w:r>
      <w:proofErr w:type="gramEnd"/>
      <w:r w:rsidRPr="00C607E1">
        <w:rPr>
          <w:color w:val="000000" w:themeColor="text1"/>
          <w:sz w:val="11"/>
          <w:szCs w:val="11"/>
        </w:rPr>
        <w:t xml:space="preserve"> в том числе лимит топлива, который может быть отпущен за определенный период (например: ежедневно, за неделю, за месяц), а также размер вносимого аванса.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 xml:space="preserve">Как правило, поставщик обобщает данные о нефтепродуктах, отпущенных по топливным картам на АЗС за определенный период времени, и оформляет единую накладную (счет-фактуру, </w:t>
      </w:r>
      <w:proofErr w:type="spellStart"/>
      <w:r w:rsidRPr="00C607E1">
        <w:rPr>
          <w:color w:val="000000" w:themeColor="text1"/>
          <w:sz w:val="11"/>
          <w:szCs w:val="11"/>
        </w:rPr>
        <w:t>лимитно-заборную</w:t>
      </w:r>
      <w:proofErr w:type="spellEnd"/>
      <w:r w:rsidRPr="00C607E1">
        <w:rPr>
          <w:color w:val="000000" w:themeColor="text1"/>
          <w:sz w:val="11"/>
          <w:szCs w:val="11"/>
        </w:rPr>
        <w:t xml:space="preserve"> карту и т.д.), а также предоставляет выписку операций по топливным картам с указанием объема заправленного в баки топлива в разрезе номеров карт.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Порядок отражения поступления ГСМ в учете с использованием топливных карт следует закрепить в учетной политике. Организация вправе учитывать поступление топлива на основании документов, выдаваемых водителям (ответственным лицам) при заправке транспорта по топливным картам. Предоставление оправдательных документов к учету может осуществляться одновременно с путевыми листами. В составе комплекта таких документов должны присутствовать чеки ККТ, в которых кроме суммы расчета обязательно должны отражаться сведения о количестве отпущенных нефтепродуктов (п. 1 ст. 4.7 Закона N 54-ФЗ). Кроме того, чек АЗС является документом, подтверждающим факт отгрузки ГСМ - переход права собственности на нефтепродукты, состав обязательных реквизитов чека должен соответствовать требованиям, установленным ст. 9 Законом N 402-ФЗ к первичным учетным документам (</w:t>
      </w:r>
      <w:proofErr w:type="gramStart"/>
      <w:r w:rsidRPr="00C607E1">
        <w:rPr>
          <w:color w:val="000000" w:themeColor="text1"/>
          <w:sz w:val="11"/>
          <w:szCs w:val="11"/>
        </w:rPr>
        <w:t>см</w:t>
      </w:r>
      <w:proofErr w:type="gramEnd"/>
      <w:r w:rsidRPr="00C607E1">
        <w:rPr>
          <w:color w:val="000000" w:themeColor="text1"/>
          <w:sz w:val="11"/>
          <w:szCs w:val="11"/>
        </w:rPr>
        <w:t>. письмо Минфина России от 29.08.2018 N 02-06-05/61767).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Затраты на приобретение бензина по топливным картам не признаются для целей налогового учета в полном размере ни в момент уплаты суммы авансовых платежей в счет предстоящей поставки бензина (приобретение карты), ни в момент отгрузки бензина покупателю в топливный бак и списания с топливных карт количества и стоимости проданного бензина. Это связано с тем, что заправка бензина в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автомобильный</w:t>
      </w:r>
      <w:r w:rsidRPr="00C607E1">
        <w:rPr>
          <w:color w:val="000000" w:themeColor="text1"/>
          <w:sz w:val="11"/>
          <w:szCs w:val="11"/>
        </w:rPr>
        <w:t> бак на основании чека АЗС станции только подтверждает факт приобретения материальных ценностей в виде бензина, но не подтверждает факт использования бензина определенным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автомобилем</w:t>
      </w:r>
      <w:r w:rsidRPr="00C607E1">
        <w:rPr>
          <w:color w:val="000000" w:themeColor="text1"/>
          <w:sz w:val="11"/>
          <w:szCs w:val="11"/>
        </w:rPr>
        <w:t xml:space="preserve"> для определенных целей (письмо УФНС России по </w:t>
      </w:r>
      <w:proofErr w:type="gramStart"/>
      <w:r w:rsidRPr="00C607E1">
        <w:rPr>
          <w:color w:val="000000" w:themeColor="text1"/>
          <w:sz w:val="11"/>
          <w:szCs w:val="11"/>
        </w:rPr>
        <w:t>г</w:t>
      </w:r>
      <w:proofErr w:type="gramEnd"/>
      <w:r w:rsidRPr="00C607E1">
        <w:rPr>
          <w:color w:val="000000" w:themeColor="text1"/>
          <w:sz w:val="11"/>
          <w:szCs w:val="11"/>
        </w:rPr>
        <w:t>. Москве от 30.06.2010 N 16-15/068679@).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>Для признания расходов на ГСМ </w:t>
      </w:r>
      <w:r w:rsidRPr="00C607E1">
        <w:rPr>
          <w:rStyle w:val="s10"/>
          <w:b/>
          <w:bCs/>
          <w:color w:val="000000" w:themeColor="text1"/>
          <w:sz w:val="11"/>
          <w:szCs w:val="11"/>
        </w:rPr>
        <w:t>в целях налогообложения прибыли</w:t>
      </w:r>
      <w:r w:rsidRPr="00C607E1">
        <w:rPr>
          <w:color w:val="000000" w:themeColor="text1"/>
          <w:sz w:val="11"/>
          <w:szCs w:val="11"/>
        </w:rPr>
        <w:t> следует документально подтвердить факт использования заправляемого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транспорта</w:t>
      </w:r>
      <w:r w:rsidRPr="00C607E1">
        <w:rPr>
          <w:color w:val="000000" w:themeColor="text1"/>
          <w:sz w:val="11"/>
          <w:szCs w:val="11"/>
        </w:rPr>
        <w:t> в производственных целях. Основанием для подтверждения расходов, связанных с использованием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автотранспортных</w:t>
      </w:r>
      <w:r w:rsidRPr="00C607E1">
        <w:rPr>
          <w:color w:val="000000" w:themeColor="text1"/>
          <w:sz w:val="11"/>
          <w:szCs w:val="11"/>
        </w:rPr>
        <w:t> </w:t>
      </w:r>
      <w:r w:rsidRPr="00C607E1">
        <w:rPr>
          <w:rStyle w:val="a4"/>
          <w:i w:val="0"/>
          <w:iCs w:val="0"/>
          <w:color w:val="000000" w:themeColor="text1"/>
          <w:sz w:val="11"/>
          <w:szCs w:val="11"/>
        </w:rPr>
        <w:t>средств</w:t>
      </w:r>
      <w:r w:rsidRPr="00C607E1">
        <w:rPr>
          <w:color w:val="000000" w:themeColor="text1"/>
          <w:sz w:val="11"/>
          <w:szCs w:val="11"/>
        </w:rPr>
        <w:t>, в том числе расходов на ГСМ, служат путевые листы.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proofErr w:type="gramStart"/>
      <w:r w:rsidRPr="00C607E1">
        <w:rPr>
          <w:color w:val="000000" w:themeColor="text1"/>
          <w:sz w:val="11"/>
          <w:szCs w:val="11"/>
        </w:rPr>
        <w:t>Расходы на топливо, приобретенное по топливным картам, могут быть учтены для целей налогообложения прибыли либо в составе материальных расходов в соответствии с </w:t>
      </w:r>
      <w:proofErr w:type="spellStart"/>
      <w:r w:rsidRPr="00C607E1">
        <w:rPr>
          <w:color w:val="000000" w:themeColor="text1"/>
          <w:sz w:val="11"/>
          <w:szCs w:val="11"/>
        </w:rPr>
        <w:t>подп</w:t>
      </w:r>
      <w:proofErr w:type="spellEnd"/>
      <w:r w:rsidRPr="00C607E1">
        <w:rPr>
          <w:color w:val="000000" w:themeColor="text1"/>
          <w:sz w:val="11"/>
          <w:szCs w:val="11"/>
        </w:rPr>
        <w:t>. 5 п. 1 ст. 254 НК РФ, либо в составе прочих расходов, связанных с производством и реализацией, согласно </w:t>
      </w:r>
      <w:proofErr w:type="spellStart"/>
      <w:r w:rsidRPr="00C607E1">
        <w:rPr>
          <w:color w:val="000000" w:themeColor="text1"/>
          <w:sz w:val="11"/>
          <w:szCs w:val="11"/>
        </w:rPr>
        <w:t>подп</w:t>
      </w:r>
      <w:proofErr w:type="spellEnd"/>
      <w:r w:rsidRPr="00C607E1">
        <w:rPr>
          <w:color w:val="000000" w:themeColor="text1"/>
          <w:sz w:val="11"/>
          <w:szCs w:val="11"/>
        </w:rPr>
        <w:t>. 11 п. 1 ст. 264 НК РФ, как затраты на содержание служебного транспорта.</w:t>
      </w:r>
      <w:proofErr w:type="gramEnd"/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rStyle w:val="s10"/>
          <w:b/>
          <w:bCs/>
          <w:color w:val="000000" w:themeColor="text1"/>
          <w:sz w:val="11"/>
          <w:szCs w:val="11"/>
        </w:rPr>
        <w:t>Сумма НДС</w:t>
      </w:r>
      <w:r w:rsidRPr="00C607E1">
        <w:rPr>
          <w:color w:val="000000" w:themeColor="text1"/>
          <w:sz w:val="11"/>
          <w:szCs w:val="11"/>
        </w:rPr>
        <w:t xml:space="preserve">, предъявленная поставщиком топлива, может быть принята к вычету после его </w:t>
      </w:r>
      <w:proofErr w:type="spellStart"/>
      <w:r w:rsidRPr="00C607E1">
        <w:rPr>
          <w:color w:val="000000" w:themeColor="text1"/>
          <w:sz w:val="11"/>
          <w:szCs w:val="11"/>
        </w:rPr>
        <w:t>оприходования</w:t>
      </w:r>
      <w:proofErr w:type="spellEnd"/>
      <w:r w:rsidRPr="00C607E1">
        <w:rPr>
          <w:color w:val="000000" w:themeColor="text1"/>
          <w:sz w:val="11"/>
          <w:szCs w:val="11"/>
        </w:rPr>
        <w:t xml:space="preserve"> и при наличии счета-фактуры, если топливо используется для осуществления операций, подлежащих обложению НДС (</w:t>
      </w:r>
      <w:proofErr w:type="spellStart"/>
      <w:r w:rsidRPr="00C607E1">
        <w:rPr>
          <w:color w:val="000000" w:themeColor="text1"/>
          <w:sz w:val="11"/>
          <w:szCs w:val="11"/>
        </w:rPr>
        <w:t>подп</w:t>
      </w:r>
      <w:proofErr w:type="spellEnd"/>
      <w:r w:rsidRPr="00C607E1">
        <w:rPr>
          <w:color w:val="000000" w:themeColor="text1"/>
          <w:sz w:val="11"/>
          <w:szCs w:val="11"/>
        </w:rPr>
        <w:t>. 1 п. 2 ст. 171, п. 1 ст. 172 НК РФ).</w:t>
      </w:r>
    </w:p>
    <w:p w:rsidR="00C607E1" w:rsidRPr="00C607E1" w:rsidRDefault="00C607E1" w:rsidP="00C607E1">
      <w:pPr>
        <w:pStyle w:val="s1"/>
        <w:jc w:val="both"/>
        <w:rPr>
          <w:color w:val="000000" w:themeColor="text1"/>
          <w:sz w:val="11"/>
          <w:szCs w:val="11"/>
        </w:rPr>
      </w:pPr>
      <w:r w:rsidRPr="00C607E1">
        <w:rPr>
          <w:color w:val="000000" w:themeColor="text1"/>
          <w:sz w:val="11"/>
          <w:szCs w:val="11"/>
        </w:rPr>
        <w:t xml:space="preserve">Оплата за ГСМ </w:t>
      </w:r>
      <w:proofErr w:type="spellStart"/>
      <w:r w:rsidRPr="00C607E1">
        <w:rPr>
          <w:color w:val="000000" w:themeColor="text1"/>
          <w:sz w:val="11"/>
          <w:szCs w:val="11"/>
        </w:rPr>
        <w:t>c</w:t>
      </w:r>
      <w:proofErr w:type="spellEnd"/>
      <w:r w:rsidRPr="00C607E1">
        <w:rPr>
          <w:color w:val="000000" w:themeColor="text1"/>
          <w:sz w:val="11"/>
          <w:szCs w:val="11"/>
        </w:rPr>
        <w:t xml:space="preserve"> применением топливных карт, как правило, осуществляется путем перечисления авансовых платежей, которые </w:t>
      </w:r>
      <w:r w:rsidRPr="00C607E1">
        <w:rPr>
          <w:rStyle w:val="s10"/>
          <w:b/>
          <w:bCs/>
          <w:color w:val="000000" w:themeColor="text1"/>
          <w:sz w:val="11"/>
          <w:szCs w:val="11"/>
        </w:rPr>
        <w:t>в бухгалтерском учете</w:t>
      </w:r>
      <w:r w:rsidRPr="00C607E1">
        <w:rPr>
          <w:color w:val="000000" w:themeColor="text1"/>
          <w:sz w:val="11"/>
          <w:szCs w:val="11"/>
        </w:rPr>
        <w:t xml:space="preserve"> в силу пунктов 3, 16 ПБУ 10/99 "Расходы организации" расходами не признаются. Списать бензин на </w:t>
      </w:r>
      <w:proofErr w:type="gramStart"/>
      <w:r w:rsidRPr="00C607E1">
        <w:rPr>
          <w:color w:val="000000" w:themeColor="text1"/>
          <w:sz w:val="11"/>
          <w:szCs w:val="11"/>
        </w:rPr>
        <w:t>расходы</w:t>
      </w:r>
      <w:proofErr w:type="gramEnd"/>
      <w:r w:rsidRPr="00C607E1">
        <w:rPr>
          <w:color w:val="000000" w:themeColor="text1"/>
          <w:sz w:val="11"/>
          <w:szCs w:val="11"/>
        </w:rPr>
        <w:t xml:space="preserve"> возможно только после его фактического </w:t>
      </w:r>
      <w:proofErr w:type="spellStart"/>
      <w:r w:rsidRPr="00C607E1">
        <w:rPr>
          <w:color w:val="000000" w:themeColor="text1"/>
          <w:sz w:val="11"/>
          <w:szCs w:val="11"/>
        </w:rPr>
        <w:t>оприходования</w:t>
      </w:r>
      <w:proofErr w:type="spellEnd"/>
      <w:r w:rsidRPr="00C607E1">
        <w:rPr>
          <w:color w:val="000000" w:themeColor="text1"/>
          <w:sz w:val="11"/>
          <w:szCs w:val="11"/>
        </w:rPr>
        <w:t>. Основанием для принятия к учету приобретенного по картам топлива являются товарная накладная от поставщика, а также реестр операций по топливным картам. Израсходованный бензин списывается на затраты на основании путевых листов.</w:t>
      </w:r>
    </w:p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На счетах бухучета выдача водителю и возврат им топливной карты не отражаются (учет самих карт можно вести на </w:t>
      </w:r>
      <w:proofErr w:type="spellStart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забалансовых</w:t>
      </w:r>
      <w:proofErr w:type="spellEnd"/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 xml:space="preserve"> счетах), движение ГСМ следует отразить следующими проводками:</w:t>
      </w:r>
    </w:p>
    <w:tbl>
      <w:tblPr>
        <w:tblW w:w="813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16"/>
        <w:gridCol w:w="1777"/>
        <w:gridCol w:w="4243"/>
      </w:tblGrid>
      <w:tr w:rsidR="00C607E1" w:rsidRPr="00C607E1" w:rsidTr="00C607E1"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Дебет</w:t>
            </w:r>
          </w:p>
        </w:tc>
        <w:tc>
          <w:tcPr>
            <w:tcW w:w="1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Кредит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Описание</w:t>
            </w:r>
          </w:p>
        </w:tc>
      </w:tr>
      <w:tr w:rsidR="00C607E1" w:rsidRPr="00C607E1" w:rsidTr="00C607E1"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60</w:t>
            </w:r>
          </w:p>
        </w:tc>
        <w:tc>
          <w:tcPr>
            <w:tcW w:w="17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51</w:t>
            </w:r>
          </w:p>
        </w:tc>
        <w:tc>
          <w:tcPr>
            <w:tcW w:w="4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перечислена предварительная оплата за топливо по счету</w:t>
            </w:r>
          </w:p>
        </w:tc>
      </w:tr>
      <w:tr w:rsidR="00C607E1" w:rsidRPr="00C607E1" w:rsidTr="00C607E1"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10, </w:t>
            </w: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субсчет</w:t>
            </w: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 "Топливо в баках </w:t>
            </w: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автомобилей</w:t>
            </w: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"</w:t>
            </w:r>
          </w:p>
        </w:tc>
        <w:tc>
          <w:tcPr>
            <w:tcW w:w="17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60</w:t>
            </w:r>
          </w:p>
        </w:tc>
        <w:tc>
          <w:tcPr>
            <w:tcW w:w="4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оприходовано топливо согласно товарной накладной</w:t>
            </w:r>
          </w:p>
        </w:tc>
      </w:tr>
      <w:tr w:rsidR="00C607E1" w:rsidRPr="00C607E1" w:rsidTr="00C607E1"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19</w:t>
            </w:r>
          </w:p>
        </w:tc>
        <w:tc>
          <w:tcPr>
            <w:tcW w:w="17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60</w:t>
            </w:r>
          </w:p>
        </w:tc>
        <w:tc>
          <w:tcPr>
            <w:tcW w:w="4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отражена сумма НДС, предъявленная продавцом топлива</w:t>
            </w:r>
          </w:p>
        </w:tc>
      </w:tr>
      <w:tr w:rsidR="00C607E1" w:rsidRPr="00C607E1" w:rsidTr="00C607E1"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68</w:t>
            </w:r>
          </w:p>
        </w:tc>
        <w:tc>
          <w:tcPr>
            <w:tcW w:w="17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19</w:t>
            </w:r>
          </w:p>
        </w:tc>
        <w:tc>
          <w:tcPr>
            <w:tcW w:w="4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принят к вычету НДС по приобретенному топливу</w:t>
            </w:r>
          </w:p>
        </w:tc>
      </w:tr>
      <w:tr w:rsidR="00C607E1" w:rsidRPr="00C607E1" w:rsidTr="00C607E1"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60</w:t>
            </w:r>
          </w:p>
        </w:tc>
        <w:tc>
          <w:tcPr>
            <w:tcW w:w="17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60</w:t>
            </w:r>
          </w:p>
        </w:tc>
        <w:tc>
          <w:tcPr>
            <w:tcW w:w="4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произведен зачет предварительной оплаты за топливо</w:t>
            </w:r>
          </w:p>
        </w:tc>
      </w:tr>
      <w:tr w:rsidR="00C607E1" w:rsidRPr="00C607E1" w:rsidTr="00C607E1"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20</w:t>
            </w: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 (</w:t>
            </w: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26</w:t>
            </w: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, </w:t>
            </w: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44</w:t>
            </w: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)</w:t>
            </w:r>
          </w:p>
        </w:tc>
        <w:tc>
          <w:tcPr>
            <w:tcW w:w="17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10, </w:t>
            </w: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субсчет</w:t>
            </w: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 "Топливо в баках </w:t>
            </w: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lang w:eastAsia="ru-RU"/>
              </w:rPr>
              <w:t>автомобилей</w:t>
            </w: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"</w:t>
            </w:r>
          </w:p>
        </w:tc>
        <w:tc>
          <w:tcPr>
            <w:tcW w:w="4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607E1" w:rsidRPr="00C607E1" w:rsidRDefault="00C607E1" w:rsidP="00C60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</w:pPr>
            <w:r w:rsidRPr="00C607E1">
              <w:rPr>
                <w:rFonts w:ascii="Times New Roman" w:eastAsia="Times New Roman" w:hAnsi="Times New Roman" w:cs="Times New Roman"/>
                <w:color w:val="000000" w:themeColor="text1"/>
                <w:sz w:val="11"/>
                <w:szCs w:val="11"/>
                <w:lang w:eastAsia="ru-RU"/>
              </w:rPr>
              <w:t>списана стоимость израсходованного топлива согласно путевым листам</w:t>
            </w:r>
          </w:p>
        </w:tc>
      </w:tr>
    </w:tbl>
    <w:p w:rsidR="00C607E1" w:rsidRPr="00C607E1" w:rsidRDefault="00C607E1" w:rsidP="00C60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</w:pP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Затраты на приобретение ГСМ на основании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пунктов 5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, 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lang w:eastAsia="ru-RU"/>
        </w:rPr>
        <w:t>7</w:t>
      </w:r>
      <w:r w:rsidRPr="00C607E1">
        <w:rPr>
          <w:rFonts w:ascii="Times New Roman" w:eastAsia="Times New Roman" w:hAnsi="Times New Roman" w:cs="Times New Roman"/>
          <w:color w:val="000000" w:themeColor="text1"/>
          <w:sz w:val="11"/>
          <w:szCs w:val="11"/>
          <w:lang w:eastAsia="ru-RU"/>
        </w:rPr>
        <w:t> ПБУ 10/99 могут быть отнесены к расходам по обычным видам деятельности.</w:t>
      </w:r>
    </w:p>
    <w:p w:rsidR="00C607E1" w:rsidRDefault="00C607E1"/>
    <w:sectPr w:rsidR="00C607E1" w:rsidSect="00D41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7"/>
  <w:proofState w:spelling="clean" w:grammar="clean"/>
  <w:defaultTabStop w:val="708"/>
  <w:characterSpacingControl w:val="doNotCompress"/>
  <w:savePreviewPicture/>
  <w:compat/>
  <w:rsids>
    <w:rsidRoot w:val="00C607E1"/>
    <w:rsid w:val="00280E79"/>
    <w:rsid w:val="009353FB"/>
    <w:rsid w:val="00C607E1"/>
    <w:rsid w:val="00D41B58"/>
    <w:rsid w:val="00EC4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B58"/>
  </w:style>
  <w:style w:type="paragraph" w:styleId="4">
    <w:name w:val="heading 4"/>
    <w:basedOn w:val="a"/>
    <w:link w:val="40"/>
    <w:uiPriority w:val="9"/>
    <w:qFormat/>
    <w:rsid w:val="00C607E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7E1"/>
    <w:rPr>
      <w:color w:val="0000FF"/>
      <w:u w:val="single"/>
    </w:rPr>
  </w:style>
  <w:style w:type="character" w:styleId="a4">
    <w:name w:val="Emphasis"/>
    <w:basedOn w:val="a0"/>
    <w:uiPriority w:val="20"/>
    <w:qFormat/>
    <w:rsid w:val="00C607E1"/>
    <w:rPr>
      <w:i/>
      <w:iCs/>
    </w:rPr>
  </w:style>
  <w:style w:type="paragraph" w:customStyle="1" w:styleId="s1">
    <w:name w:val="s_1"/>
    <w:basedOn w:val="a"/>
    <w:rsid w:val="00C60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60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607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0">
    <w:name w:val="s_10"/>
    <w:basedOn w:val="a0"/>
    <w:rsid w:val="00C607E1"/>
  </w:style>
  <w:style w:type="paragraph" w:customStyle="1" w:styleId="s16">
    <w:name w:val="s_16"/>
    <w:basedOn w:val="a"/>
    <w:rsid w:val="00C60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9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1989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3517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54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51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5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2683</Words>
  <Characters>15298</Characters>
  <Application>Microsoft Office Word</Application>
  <DocSecurity>0</DocSecurity>
  <Lines>127</Lines>
  <Paragraphs>35</Paragraphs>
  <ScaleCrop>false</ScaleCrop>
  <Company/>
  <LinksUpToDate>false</LinksUpToDate>
  <CharactersWithSpaces>17946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vash</dc:creator>
  <cp:lastModifiedBy>vash</cp:lastModifiedBy>
  <cp:revision>1</cp:revision>
  <dcterms:created xsi:type="dcterms:W3CDTF">2025-10-01T05:36:00Z</dcterms:created>
  <dcterms:modified xsi:type="dcterms:W3CDTF">2025-10-01T05:42:00Z</dcterms:modified>
</cp:coreProperties>
</file>