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КОЛЛЕКТИВНЫЙ ДОГОВОР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Общества с ограниченной ответственностью «Торговая фирма "Гермес"»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 20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Индексации зарплаты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Работодатель ежегодно индексирует заработок всех работников в связи с ростом потребительских цен на товары и услуги.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Индексация заработка проводится в форме выплаты премий </w:t>
      </w:r>
      <w:r>
        <w:rPr>
          <w:rFonts w:hAnsi="Times New Roman" w:cs="Times New Roman"/>
          <w:color w:val="000000"/>
          <w:sz w:val="24"/>
          <w:szCs w:val="24"/>
        </w:rPr>
        <w:t>по итогам прошедшего года</w:t>
      </w:r>
      <w:r>
        <w:rPr>
          <w:rFonts w:hAnsi="Times New Roman" w:cs="Times New Roman"/>
          <w:color w:val="000000"/>
          <w:sz w:val="24"/>
          <w:szCs w:val="24"/>
        </w:rPr>
        <w:t xml:space="preserve">, которые начисляются и выплачиваются </w:t>
      </w:r>
      <w:r>
        <w:rPr>
          <w:rFonts w:hAnsi="Times New Roman" w:cs="Times New Roman"/>
          <w:color w:val="000000"/>
          <w:sz w:val="24"/>
          <w:szCs w:val="24"/>
        </w:rPr>
        <w:t>в январе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Премии по итогам года рассчитываются </w:t>
      </w:r>
      <w:r>
        <w:rPr>
          <w:rFonts w:hAnsi="Times New Roman" w:cs="Times New Roman"/>
          <w:color w:val="000000"/>
          <w:sz w:val="24"/>
          <w:szCs w:val="24"/>
        </w:rPr>
        <w:t>путем умножения окладов на величину роста потребительских цен на товары и услуги по данным Росстата</w:t>
      </w:r>
      <w:r>
        <w:rPr>
          <w:rFonts w:hAnsi="Times New Roman" w:cs="Times New Roman"/>
          <w:color w:val="000000"/>
          <w:sz w:val="24"/>
          <w:szCs w:val="24"/>
        </w:rPr>
        <w:t xml:space="preserve">. В расчете используются данные индекса потребительских цен </w:t>
      </w:r>
      <w:r>
        <w:rPr>
          <w:rFonts w:hAnsi="Times New Roman" w:cs="Times New Roman"/>
          <w:color w:val="000000"/>
          <w:sz w:val="24"/>
          <w:szCs w:val="24"/>
        </w:rPr>
        <w:t>с января по декабрь прошедшего года по отношению к декабрю 2018 года</w:t>
      </w:r>
      <w:r>
        <w:rPr>
          <w:rFonts w:hAnsi="Times New Roman" w:cs="Times New Roman"/>
          <w:color w:val="000000"/>
          <w:sz w:val="24"/>
          <w:szCs w:val="24"/>
        </w:rPr>
        <w:t xml:space="preserve"> (см. пример расчета в Приложении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коллективному договору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 с ограниченной ответственностью «Торговая фирма "Гермес"»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Пример расчета годовой премии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Месячный оклад сотрудника составляет </w:t>
      </w:r>
      <w:r>
        <w:rPr>
          <w:rFonts w:hAnsi="Times New Roman" w:cs="Times New Roman"/>
          <w:color w:val="000000"/>
          <w:sz w:val="24"/>
          <w:szCs w:val="24"/>
        </w:rPr>
        <w:t>30 000 руб</w:t>
      </w:r>
      <w:r>
        <w:rPr>
          <w:rFonts w:hAnsi="Times New Roman" w:cs="Times New Roman"/>
          <w:color w:val="000000"/>
          <w:sz w:val="24"/>
          <w:szCs w:val="24"/>
        </w:rPr>
        <w:t>. В таблице ниже представлен расчет годовой премии этого сотрудника.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2820"/>
      </w:tblGrid>
      <w:tr>
        <w:trPr>
          <w:trHeight w:val="720"/>
        </w:trPr>
        <w:tc>
          <w:tcPr>
            <w:tcW w:w="18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9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Индекс потребительских цен по данным Росстата по отношению к декабрю 2018, в %</w:t>
            </w:r>
          </w:p>
        </w:tc>
        <w:tc>
          <w:tcPr>
            <w:tcW w:w="17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Оклад с учетом индексации, руб.</w:t>
            </w:r>
          </w:p>
        </w:tc>
        <w:tc>
          <w:tcPr>
            <w:tcW w:w="28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Доплата до оклада с учетом индексации, руб.</w:t>
            </w:r>
          </w:p>
        </w:tc>
      </w:tr>
      <w:tr>
        <w:trPr>
          <w:trHeight w:val="180"/>
        </w:trPr>
        <w:tc>
          <w:tcPr>
            <w:tcW w:w="189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2019</w:t>
            </w:r>
          </w:p>
        </w:tc>
        <w:tc>
          <w:tcPr>
            <w:tcW w:w="29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75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30840</w:t>
            </w:r>
          </w:p>
        </w:tc>
        <w:tc>
          <w:tcPr>
            <w:tcW w:w="282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30750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30720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30690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30720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30810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30750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30720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30630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30540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>
        <w:trPr>
          <w:trHeight w:val="180"/>
        </w:trPr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2019</w:t>
            </w:r>
          </w:p>
        </w:tc>
        <w:tc>
          <w:tcPr>
            <w:tcW w:w="2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30450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>
        <w:trPr>
          <w:trHeight w:val="180"/>
        </w:trPr>
        <w:tc>
          <w:tcPr>
            <w:tcW w:w="18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2019</w:t>
            </w:r>
          </w:p>
        </w:tc>
        <w:tc>
          <w:tcPr>
            <w:tcW w:w="29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30300</w:t>
            </w:r>
          </w:p>
        </w:tc>
        <w:tc>
          <w:tcPr>
            <w:tcW w:w="28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>
        <w:trPr>
          <w:trHeight w:val="180"/>
        </w:trPr>
        <w:tc>
          <w:tcPr>
            <w:tcW w:w="1890" w:type="dxa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годовая премия (сумма доплат до оклада с учетом индексации): </w:t>
            </w:r>
          </w:p>
        </w:tc>
        <w:tc>
          <w:tcPr>
            <w:tcW w:w="282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7920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f5ea1b07b734b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