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36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2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____________А.В. Львов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24.12.2021</w:t>
            </w:r>
          </w:p>
        </w:tc>
      </w:tr>
      <w:tr>
        <w:trPr>
          <w:trHeight w:val="0"/>
        </w:trPr>
        <w:tc>
          <w:tcPr>
            <w:tcW w:w="3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СМЕТА ПРЕДСТАВИТЕЛЬСКИХ РАСХОДОВ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</w:rPr>
        <w:t xml:space="preserve">I квартал 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статей по представительским расходам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плановая,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Почтовые и курьерские услуги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Транспортное сопровождение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питания во время деловых переговоров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15 000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Оплата услуг переводчиков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Прочие (сувениры, билеты в театр и т. д.)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34 800</w:t>
            </w:r>
          </w:p>
        </w:tc>
      </w:tr>
      <w:tr>
        <w:trPr>
          <w:trHeight w:val="0"/>
        </w:trPr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Исполнитель: менеджер ___________  </w:t>
      </w:r>
      <w:r>
        <w:rPr>
          <w:rFonts w:hAnsi="Times New Roman" w:cs="Times New Roman"/>
          <w:color w:val="000000"/>
          <w:sz w:val="24"/>
          <w:szCs w:val="24"/>
        </w:rPr>
        <w:t>А.С. Кондратьев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fbb25221b245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