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before="240" w:lineRule="auto"/>
        <w:rPr>
          <w:b w:val="1"/>
        </w:rPr>
      </w:pPr>
      <w:bookmarkStart w:colFirst="0" w:colLast="0" w:name="_nnhdwqea7xay" w:id="0"/>
      <w:bookmarkEnd w:id="0"/>
      <w:r w:rsidDel="00000000" w:rsidR="00000000" w:rsidRPr="00000000">
        <w:rPr>
          <w:b w:val="1"/>
          <w:rtl w:val="0"/>
        </w:rPr>
        <w:t xml:space="preserve">Чек-лист для ИП: как заполнить 3-НДФЛ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before="240" w:lineRule="auto"/>
        <w:ind w:left="720" w:hanging="360"/>
      </w:pPr>
      <w:r w:rsidDel="00000000" w:rsidR="00000000" w:rsidRPr="00000000">
        <w:rPr>
          <w:rtl w:val="0"/>
        </w:rPr>
        <w:t xml:space="preserve">Бумажную декларацию заполняйте от руки или на компьютере. Используйте чёрные или синие чернила. Распечатывайте на принтере страницы отчёта только с одной стороны листа А4.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Каждый показатель указывайте в отдельном поле, которое состоит из ячеек. Заполняйте их слева направо — начинайте с крайней левой. В незаполненные ячейки ставьте прочерки.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Денежные показатели указывайте в рублях с копейками. Исключение — суммы НДФЛ и суммы доходов, которые получили от источников за пределами РФ. Округляйте 50 коп. и более до полного рубля, а менее 50 коп. отбрасывайте.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Текстовые поля заполняйте заглавными печатными буквами — начинайте с первой левой ячейки, слева направо.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 верхней части каждой страницы укажите свой ИНН. В отведенных строках внизу страниц поставьте подпись и дату подписания.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 заполненной декларации пронумеруйте все страницы — начинайте с титульного листа.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240" w:lineRule="auto"/>
        <w:ind w:left="720" w:hanging="360"/>
      </w:pPr>
      <w:r w:rsidDel="00000000" w:rsidR="00000000" w:rsidRPr="00000000">
        <w:rPr>
          <w:rtl w:val="0"/>
        </w:rPr>
        <w:t xml:space="preserve">Если декларацию подаёт представитель ИП, приложите копию нотариальной доверенности.</w:t>
      </w:r>
    </w:p>
    <w:p w:rsidR="00000000" w:rsidDel="00000000" w:rsidP="00000000" w:rsidRDefault="00000000" w:rsidRPr="00000000" w14:paraId="00000009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Порядок заполнения отчёта —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приложение № 2</w:t>
        </w:r>
      </w:hyperlink>
      <w:r w:rsidDel="00000000" w:rsidR="00000000" w:rsidRPr="00000000">
        <w:rPr>
          <w:rtl w:val="0"/>
        </w:rPr>
        <w:t xml:space="preserve"> к приказу ФНС № ЕД-7-11/903 от 15.10.2021.</w:t>
      </w:r>
    </w:p>
    <w:p w:rsidR="00000000" w:rsidDel="00000000" w:rsidP="00000000" w:rsidRDefault="00000000" w:rsidRPr="00000000" w14:paraId="0000000A">
      <w:pPr>
        <w:spacing w:after="240" w:before="240" w:line="331.2" w:lineRule="auto"/>
        <w:rPr/>
      </w:pPr>
      <w:r w:rsidDel="00000000" w:rsidR="00000000" w:rsidRPr="00000000">
        <w:rPr>
          <w:rtl w:val="0"/>
        </w:rPr>
        <w:t xml:space="preserve">Коды для отчёта — таблицы в приложениях № 1–7 к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Порядку заполнения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oedelo.org/Pro/View/Legals/97-425772955534?referer=Search&amp;query=%D0%BF%D1%80%D0%B8%D0%BA%D0%B0%D0%B7%20%D0%A4%D0%9D%D0%A1%20%E2%84%96%20%D0%95%D0%94-7-11%2F903%20%D0%BE%D1%82%2015.10.2021&amp;position=0&amp;_companyId=11749824#Q0000000007DA0K5" TargetMode="External"/><Relationship Id="rId7" Type="http://schemas.openxmlformats.org/officeDocument/2006/relationships/hyperlink" Target="https://www.moedelo.org/Pro/View/Legals/97-425772955534?referer=Search&amp;query=%D0%BF%D1%80%D0%B8%D0%BA%D0%B0%D0%B7%20%D0%A4%D0%9D%D0%A1%20%E2%84%96%20%D0%95%D0%94-7-11%2F903%20%D0%BE%D1%82%2015.10.2021&amp;position=0&amp;_companyId=11749824#Q0000000007DA0K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