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СОГЛАШЕНИЕ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 расторжении трудового договора от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</w:t>
      </w:r>
      <w:r w:rsidDel="00000000" w:rsidR="00000000" w:rsidRPr="00000000">
        <w:rPr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№ 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tl w:val="0"/>
        </w:rPr>
      </w:r>
    </w:p>
    <w:tbl>
      <w:tblPr>
        <w:tblStyle w:val="Table1"/>
        <w:tblW w:w="4320.0" w:type="dxa"/>
        <w:jc w:val="left"/>
        <w:tblInd w:w="-75.0" w:type="dxa"/>
        <w:tblLayout w:type="fixed"/>
        <w:tblLook w:val="0600"/>
      </w:tblPr>
      <w:tblGrid>
        <w:gridCol w:w="1440"/>
        <w:gridCol w:w="1440"/>
        <w:gridCol w:w="1440"/>
        <w:tblGridChange w:id="0">
          <w:tblGrid>
            <w:gridCol w:w="144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Москва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Общество с ограниченной ответственностью «</w:t>
      </w:r>
      <w:r w:rsidDel="00000000" w:rsidR="00000000" w:rsidRPr="00000000">
        <w:rPr>
          <w:sz w:val="24"/>
          <w:szCs w:val="24"/>
          <w:rtl w:val="0"/>
        </w:rPr>
        <w:t xml:space="preserve">Июнь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», именуемое в дальнейшем «Работодатель», в лице директора </w:t>
      </w:r>
      <w:r w:rsidDel="00000000" w:rsidR="00000000" w:rsidRPr="00000000">
        <w:rPr>
          <w:sz w:val="24"/>
          <w:szCs w:val="24"/>
          <w:rtl w:val="0"/>
        </w:rPr>
        <w:t xml:space="preserve">Иванов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Александра</w:t>
      </w:r>
      <w:r w:rsidDel="00000000" w:rsidR="00000000" w:rsidRPr="00000000">
        <w:rPr>
          <w:sz w:val="24"/>
          <w:szCs w:val="24"/>
          <w:rtl w:val="0"/>
        </w:rPr>
        <w:t xml:space="preserve"> Александровича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действующего на основании устава, с одной стороны и руководитель отдела </w:t>
      </w:r>
      <w:r w:rsidDel="00000000" w:rsidR="00000000" w:rsidRPr="00000000">
        <w:rPr>
          <w:sz w:val="24"/>
          <w:szCs w:val="24"/>
          <w:rtl w:val="0"/>
        </w:rPr>
        <w:t xml:space="preserve">маркетинга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Смирнов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Павел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Сергеевич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именуемый в дальнейшем «Работник», с другой стороны в соответствии со статьей 78 Трудового кодекса заключили настоящее соглашение о нижеследующем.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Работник и Работодатель, являющиеся сторонами по трудовому договору от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</w:t>
      </w:r>
      <w:r w:rsidDel="00000000" w:rsidR="00000000" w:rsidRPr="00000000">
        <w:rPr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№ 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(далее – Трудовой договор), пришли к взаимному согласию о расторжении указанного Трудового договора.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 Трудовые отношения между Работником и Работодателем прекращаются </w:t>
      </w:r>
      <w:r w:rsidDel="00000000" w:rsidR="00000000" w:rsidRPr="00000000">
        <w:rPr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.0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Расторжение Трудового договора оформляется по пункту 1 части 1 статьи 77 Трудового кодекса – соглашение сторон. Ссылка на данную статью проставляется в трудовой книжке Работника, которую он получает в последний день своей работы – </w:t>
      </w:r>
      <w:r w:rsidDel="00000000" w:rsidR="00000000" w:rsidRPr="00000000">
        <w:rPr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.0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 В последний рабочий день Работодатель обязуется выплатить Работнику компенсацию в размере 1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0 000 (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то тысяч) руб., а Работник обязуется принять указанную сумму под подпись.</w:t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 В последний рабочий день Работника Работодатель обязуется выдать Работнику оформленную трудовую книжку и произвести с ним полный расчет.</w:t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 Работник и Работодатель подтверждают, что размер компенсации, установленный в пункте 3 указанного соглашения, является окончательным и изменению (дополнению) не подлежит.</w:t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 Отказ от соглашения или внесение в него изменений допускается только по взаимному согласию сторон, выраженному в письменной форме.</w:t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 Стороны взаимных претензий друг к другу не имеют.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 Настоящее соглашение составлено в двух экземплярах, имеющих равную юридическую силу, – по одному для каждой из сторон.</w:t>
      </w:r>
    </w:p>
    <w:p w:rsidR="00000000" w:rsidDel="00000000" w:rsidP="00000000" w:rsidRDefault="00000000" w:rsidRPr="00000000" w14:paraId="0000000F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Адреса, реквизиты и подписи сторон:</w:t>
      </w:r>
    </w:p>
    <w:tbl>
      <w:tblPr>
        <w:tblStyle w:val="Table2"/>
        <w:tblW w:w="5775.0" w:type="dxa"/>
        <w:jc w:val="left"/>
        <w:tblInd w:w="-75.0" w:type="dxa"/>
        <w:tblLayout w:type="fixed"/>
        <w:tblLook w:val="0600"/>
      </w:tblPr>
      <w:tblGrid>
        <w:gridCol w:w="1440"/>
        <w:gridCol w:w="1440"/>
        <w:gridCol w:w="1440"/>
        <w:gridCol w:w="1455"/>
        <w:tblGridChange w:id="0">
          <w:tblGrid>
            <w:gridCol w:w="1440"/>
            <w:gridCol w:w="1440"/>
            <w:gridCol w:w="1440"/>
            <w:gridCol w:w="1455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Работодатель: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Работник: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 с ограниченной ответственностью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Июнь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» (ООО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Июнь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»)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Михалковская ул., д.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г. Москва, 12500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Тел.: +7 (495)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333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Факс: +7 (495)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323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-23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ОКПО 12345678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ОГРН 1234567890123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ИНН/КПП 7708123456/770801001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Р/с 40702810400000001111 в АКБ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К/с 30101810400000000222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БИК 044583222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Смирнов Павел Сергеевич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Паспорт серии 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№ 54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выдан УВД Воскресенского р-на Московской обл., 15.0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.200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код подразделения 772-023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Адрес регистрации: 125373, г. Москва, бул. Яна Райниса, д. 24, корп. 2, кв. 474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Руководитель отдела маркетинга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Иванов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Иван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Смирнов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Смирнов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lRgADfDvTGiVea/zYPpS8tPfyQ==">CgMxLjA4AHIhMWNNUnNKZGZmdDBIZ1NnWk5sMnJGbWk3dWw2VVA4N0R2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