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5353"/>
        <w:gridCol w:w="4218"/>
        <w:tblGridChange w:id="0">
          <w:tblGrid>
            <w:gridCol w:w="5353"/>
            <w:gridCol w:w="42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Руководителю ИФНС России № 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г. Москве Н.Т. Куроедову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ООО «Июнь»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012345789, КПП 123456789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(юридический и фактический):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125008, г. Москва, Ленинградское ш., д.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40702810400000001111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АКБ «Надежный»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30101810400000000222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044583222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1234567890123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Layout w:type="fixed"/>
        <w:tblLook w:val="00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Исх. №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от 28 июля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г.</w:t>
              <w:br w:type="textWrapping"/>
              <w:t xml:space="preserve">На №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/56354 от 28 июля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 на требование </w:t>
        <w:br w:type="textWrapping"/>
        <w:t xml:space="preserve">о представлении пояснений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Организация «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Июнь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в ответ на требование № 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/56354 от 28 июля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 подтверждает, что доля вычетов по НДС во II квартале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года составила 95% и на 5% превышает среднюю долю вычетов в г. Москве.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Превышение средней доли налоговых вычетов во II квартале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года в регионе — 90% обосновано и связано с закупкой основных средств на сумму 4 800 000 руб. (НДС - 800 000 руб.). Имущество принято к учету 22 мая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года, используется в облагаемых НДС операциях, счета-фактуры и первичные документы оформлены правильно.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Вычеты НДС заявлены в декларации с соблюдением требований статей 54.1, 169, 171 и 172 НК РФ и оснований для представления уточненной декларации нет. В отчетности отсутствуют ошибки, противоречия и несоответствия между представленными сведениями (ст. 88 НК РФ).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копии приказов о вводе в эксплуатацию основных средств;</w:t>
        <w:br w:type="textWrapping"/>
        <w:t xml:space="preserve">– копии договоров с поставщиками;</w:t>
        <w:br w:type="textWrapping"/>
        <w:t xml:space="preserve">– копии УПД, выставленных поставщиками.</w:t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Директор  __________  А.В. Летов</w:t>
      </w:r>
    </w:p>
    <w:p w:rsidR="00000000" w:rsidDel="00000000" w:rsidP="00000000" w:rsidRDefault="00000000" w:rsidRPr="00000000" w14:paraId="00000012">
      <w:pPr>
        <w:spacing w:after="280" w:before="28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Главный бухгалтер  __________  А.С. Пухова</w:t>
      </w:r>
    </w:p>
    <w:p w:rsidR="00000000" w:rsidDel="00000000" w:rsidP="00000000" w:rsidRDefault="00000000" w:rsidRPr="00000000" w14:paraId="00000014">
      <w:pPr>
        <w:spacing w:before="28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31.07.2023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3Знак">
    <w:name w:val="Заголовок 3 Знак"/>
    <w:basedOn w:val="Основнойшрифтабзаца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basedOn w:val="Основнойшрифтабзаца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мапримечанияЗнак">
    <w:name w:val="Тема примечания Знак"/>
    <w:basedOn w:val="ТекстпримечанияЗнак"/>
    <w:next w:val="Темапримечания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EXuJjiLe/fiYMCoqN1N9jXVJhQ==">CgMxLjA4AHIhMV9FUVowQzJNWmNoU1EwUHhqdFdzR2hoRnlPamR5bWFV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2019-02-20T12:42:00Z</dcterms:created>
  <dc:creator/>
</cp:coreProperties>
</file>